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09" w:rsidRPr="00830C04" w:rsidRDefault="00602509" w:rsidP="00BE315B">
      <w:pPr>
        <w:spacing w:line="240" w:lineRule="exact"/>
        <w:jc w:val="center"/>
        <w:rPr>
          <w:rFonts w:asciiTheme="minorHAnsi" w:hAnsiTheme="minorHAnsi"/>
          <w:b/>
          <w:sz w:val="22"/>
          <w:szCs w:val="22"/>
        </w:rPr>
      </w:pPr>
      <w:r w:rsidRPr="00830C04">
        <w:rPr>
          <w:rFonts w:asciiTheme="minorHAnsi" w:hAnsiTheme="minorHAnsi"/>
          <w:b/>
          <w:sz w:val="22"/>
          <w:szCs w:val="22"/>
        </w:rPr>
        <w:t>Reporting of Unauthorized Discharges</w:t>
      </w:r>
    </w:p>
    <w:p w:rsidR="00602509" w:rsidRPr="00830C04" w:rsidRDefault="00602509" w:rsidP="00BE315B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602509" w:rsidRPr="00830C04" w:rsidRDefault="00602509" w:rsidP="00BE315B">
      <w:pPr>
        <w:spacing w:line="120" w:lineRule="exact"/>
        <w:jc w:val="both"/>
        <w:rPr>
          <w:rFonts w:asciiTheme="minorHAnsi" w:hAnsiTheme="minorHAnsi"/>
          <w:sz w:val="22"/>
          <w:szCs w:val="22"/>
        </w:rPr>
      </w:pPr>
    </w:p>
    <w:p w:rsidR="0047047B" w:rsidRPr="009406F7" w:rsidRDefault="00602509" w:rsidP="00307FA4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9406F7">
        <w:rPr>
          <w:rFonts w:asciiTheme="minorHAnsi" w:hAnsiTheme="minorHAnsi"/>
          <w:sz w:val="22"/>
          <w:szCs w:val="22"/>
        </w:rPr>
        <w:t xml:space="preserve">LAC 33:I.Chapter 39 establishes regulations for the </w:t>
      </w:r>
      <w:r w:rsidR="0006411B" w:rsidRPr="009406F7">
        <w:rPr>
          <w:rFonts w:asciiTheme="minorHAnsi" w:hAnsiTheme="minorHAnsi"/>
          <w:sz w:val="22"/>
          <w:szCs w:val="22"/>
        </w:rPr>
        <w:t>reporting of unauthorized discharges or spills</w:t>
      </w:r>
      <w:r w:rsidR="00853331" w:rsidRPr="009406F7">
        <w:rPr>
          <w:rFonts w:asciiTheme="minorHAnsi" w:hAnsiTheme="minorHAnsi"/>
          <w:sz w:val="22"/>
          <w:szCs w:val="22"/>
        </w:rPr>
        <w:t xml:space="preserve">.  </w:t>
      </w:r>
      <w:r w:rsidR="0047047B" w:rsidRPr="009406F7">
        <w:rPr>
          <w:rFonts w:asciiTheme="minorHAnsi" w:hAnsiTheme="minorHAnsi"/>
          <w:sz w:val="22"/>
          <w:szCs w:val="22"/>
        </w:rPr>
        <w:t>This document is intended to assist the regulated community in determining when notification of discharge</w:t>
      </w:r>
      <w:r w:rsidR="00A66D7A" w:rsidRPr="009406F7">
        <w:rPr>
          <w:rFonts w:asciiTheme="minorHAnsi" w:hAnsiTheme="minorHAnsi"/>
          <w:sz w:val="22"/>
          <w:szCs w:val="22"/>
        </w:rPr>
        <w:t>s</w:t>
      </w:r>
      <w:r w:rsidR="0047047B" w:rsidRPr="009406F7">
        <w:rPr>
          <w:rFonts w:asciiTheme="minorHAnsi" w:hAnsiTheme="minorHAnsi"/>
          <w:sz w:val="22"/>
          <w:szCs w:val="22"/>
        </w:rPr>
        <w:t xml:space="preserve"> </w:t>
      </w:r>
      <w:r w:rsidR="00A66D7A" w:rsidRPr="009406F7">
        <w:rPr>
          <w:rFonts w:asciiTheme="minorHAnsi" w:hAnsiTheme="minorHAnsi"/>
          <w:sz w:val="22"/>
          <w:szCs w:val="22"/>
        </w:rPr>
        <w:t xml:space="preserve">to the air </w:t>
      </w:r>
      <w:r w:rsidR="0047047B" w:rsidRPr="009406F7">
        <w:rPr>
          <w:rFonts w:asciiTheme="minorHAnsi" w:hAnsiTheme="minorHAnsi"/>
          <w:sz w:val="22"/>
          <w:szCs w:val="22"/>
        </w:rPr>
        <w:t>must be provided.</w:t>
      </w:r>
      <w:r w:rsidR="00A66D7A" w:rsidRPr="009406F7">
        <w:rPr>
          <w:rStyle w:val="FootnoteReference"/>
          <w:rFonts w:asciiTheme="minorHAnsi" w:hAnsiTheme="minorHAnsi"/>
          <w:sz w:val="22"/>
          <w:szCs w:val="22"/>
        </w:rPr>
        <w:footnoteReference w:id="1"/>
      </w:r>
    </w:p>
    <w:p w:rsidR="00602509" w:rsidRPr="009406F7" w:rsidRDefault="00602509" w:rsidP="00307FA4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06411B" w:rsidRPr="009406F7" w:rsidRDefault="0006411B" w:rsidP="00307FA4">
      <w:pPr>
        <w:spacing w:line="240" w:lineRule="exact"/>
        <w:jc w:val="both"/>
        <w:rPr>
          <w:rFonts w:asciiTheme="minorHAnsi" w:hAnsiTheme="minorHAnsi"/>
          <w:b/>
          <w:sz w:val="22"/>
          <w:szCs w:val="22"/>
        </w:rPr>
      </w:pPr>
      <w:r w:rsidRPr="009406F7">
        <w:rPr>
          <w:rFonts w:asciiTheme="minorHAnsi" w:hAnsiTheme="minorHAnsi"/>
          <w:b/>
          <w:sz w:val="22"/>
          <w:szCs w:val="22"/>
        </w:rPr>
        <w:t>Discharges that Cause Emergency Conditions</w:t>
      </w:r>
    </w:p>
    <w:p w:rsidR="0006411B" w:rsidRPr="009406F7" w:rsidRDefault="0006411B" w:rsidP="00307FA4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06411B" w:rsidRPr="009406F7" w:rsidRDefault="0006411B" w:rsidP="00307FA4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9406F7">
        <w:rPr>
          <w:rFonts w:asciiTheme="minorHAnsi" w:hAnsiTheme="minorHAnsi"/>
          <w:sz w:val="22"/>
          <w:szCs w:val="22"/>
        </w:rPr>
        <w:t xml:space="preserve">In the event </w:t>
      </w:r>
      <w:r w:rsidR="0047047B" w:rsidRPr="009406F7">
        <w:rPr>
          <w:rFonts w:asciiTheme="minorHAnsi" w:hAnsiTheme="minorHAnsi"/>
          <w:sz w:val="22"/>
          <w:szCs w:val="22"/>
        </w:rPr>
        <w:t xml:space="preserve">of </w:t>
      </w:r>
      <w:r w:rsidRPr="009406F7">
        <w:rPr>
          <w:rFonts w:asciiTheme="minorHAnsi" w:hAnsiTheme="minorHAnsi"/>
          <w:sz w:val="22"/>
          <w:szCs w:val="22"/>
        </w:rPr>
        <w:t xml:space="preserve">an unauthorized discharge </w:t>
      </w:r>
      <w:r w:rsidR="0047047B" w:rsidRPr="009406F7">
        <w:rPr>
          <w:rFonts w:asciiTheme="minorHAnsi" w:hAnsiTheme="minorHAnsi"/>
          <w:sz w:val="22"/>
          <w:szCs w:val="22"/>
        </w:rPr>
        <w:t xml:space="preserve">that </w:t>
      </w:r>
      <w:r w:rsidRPr="009406F7">
        <w:rPr>
          <w:rFonts w:asciiTheme="minorHAnsi" w:hAnsiTheme="minorHAnsi"/>
          <w:sz w:val="22"/>
          <w:szCs w:val="22"/>
        </w:rPr>
        <w:t xml:space="preserve">causes an emergency condition, the discharger </w:t>
      </w:r>
      <w:r w:rsidR="0047047B" w:rsidRPr="009406F7">
        <w:rPr>
          <w:rFonts w:asciiTheme="minorHAnsi" w:hAnsiTheme="minorHAnsi"/>
          <w:sz w:val="22"/>
          <w:szCs w:val="22"/>
        </w:rPr>
        <w:t>must</w:t>
      </w:r>
      <w:r w:rsidRPr="009406F7">
        <w:rPr>
          <w:rFonts w:asciiTheme="minorHAnsi" w:hAnsiTheme="minorHAnsi"/>
          <w:sz w:val="22"/>
          <w:szCs w:val="22"/>
        </w:rPr>
        <w:t xml:space="preserve"> notify the </w:t>
      </w:r>
      <w:r w:rsidR="00847CDF" w:rsidRPr="009406F7">
        <w:rPr>
          <w:rFonts w:asciiTheme="minorHAnsi" w:hAnsiTheme="minorHAnsi"/>
          <w:sz w:val="22"/>
          <w:szCs w:val="22"/>
        </w:rPr>
        <w:t xml:space="preserve">Department of Public Safety’s Hazardous Materials Hotline </w:t>
      </w:r>
      <w:r w:rsidR="0047047B" w:rsidRPr="009406F7">
        <w:rPr>
          <w:rFonts w:asciiTheme="minorHAnsi" w:hAnsiTheme="minorHAnsi"/>
          <w:sz w:val="22"/>
          <w:szCs w:val="22"/>
        </w:rPr>
        <w:t xml:space="preserve">(Hotline) </w:t>
      </w:r>
      <w:r w:rsidRPr="009406F7">
        <w:rPr>
          <w:rFonts w:asciiTheme="minorHAnsi" w:hAnsiTheme="minorHAnsi"/>
          <w:sz w:val="22"/>
          <w:szCs w:val="22"/>
        </w:rPr>
        <w:t>by telephone at (225) 925-6595 immediately (</w:t>
      </w:r>
      <w:r w:rsidR="00AE251C">
        <w:rPr>
          <w:rFonts w:asciiTheme="minorHAnsi" w:hAnsiTheme="minorHAnsi"/>
          <w:sz w:val="22"/>
          <w:szCs w:val="22"/>
        </w:rPr>
        <w:t xml:space="preserve">i.e., </w:t>
      </w:r>
      <w:r w:rsidRPr="009406F7">
        <w:rPr>
          <w:rFonts w:asciiTheme="minorHAnsi" w:hAnsiTheme="minorHAnsi"/>
          <w:sz w:val="22"/>
          <w:szCs w:val="22"/>
        </w:rPr>
        <w:t>a reasonable period of time after taking prompt measures to determine the nature, quantity, and potential off-site impact of a release, considering th</w:t>
      </w:r>
      <w:r w:rsidR="00AE251C">
        <w:rPr>
          <w:rFonts w:asciiTheme="minorHAnsi" w:hAnsiTheme="minorHAnsi"/>
          <w:sz w:val="22"/>
          <w:szCs w:val="22"/>
        </w:rPr>
        <w:t>e exigency of the circumstances</w:t>
      </w:r>
      <w:r w:rsidRPr="009406F7">
        <w:rPr>
          <w:rFonts w:asciiTheme="minorHAnsi" w:hAnsiTheme="minorHAnsi"/>
          <w:sz w:val="22"/>
          <w:szCs w:val="22"/>
        </w:rPr>
        <w:t>, but in no case later than one hour a</w:t>
      </w:r>
      <w:r w:rsidR="00847CDF" w:rsidRPr="009406F7">
        <w:rPr>
          <w:rFonts w:asciiTheme="minorHAnsi" w:hAnsiTheme="minorHAnsi"/>
          <w:sz w:val="22"/>
          <w:szCs w:val="22"/>
        </w:rPr>
        <w:t>fter learning of the discharge</w:t>
      </w:r>
      <w:r w:rsidR="00AE251C">
        <w:rPr>
          <w:rFonts w:asciiTheme="minorHAnsi" w:hAnsiTheme="minorHAnsi"/>
          <w:sz w:val="22"/>
          <w:szCs w:val="22"/>
        </w:rPr>
        <w:t>)</w:t>
      </w:r>
      <w:r w:rsidR="00847CDF" w:rsidRPr="009406F7">
        <w:rPr>
          <w:rFonts w:asciiTheme="minorHAnsi" w:hAnsiTheme="minorHAnsi"/>
          <w:sz w:val="22"/>
          <w:szCs w:val="22"/>
        </w:rPr>
        <w:t xml:space="preserve">.  </w:t>
      </w:r>
      <w:r w:rsidRPr="009406F7">
        <w:rPr>
          <w:rFonts w:asciiTheme="minorHAnsi" w:hAnsiTheme="minorHAnsi"/>
          <w:sz w:val="22"/>
          <w:szCs w:val="22"/>
        </w:rPr>
        <w:t xml:space="preserve">An emergency condition is any condition which could reasonably be expected to endanger the </w:t>
      </w:r>
      <w:r w:rsidR="001233D4" w:rsidRPr="009406F7">
        <w:rPr>
          <w:rFonts w:asciiTheme="minorHAnsi" w:hAnsiTheme="minorHAnsi"/>
          <w:sz w:val="22"/>
          <w:szCs w:val="22"/>
        </w:rPr>
        <w:t>health and safety of the public;</w:t>
      </w:r>
      <w:r w:rsidRPr="009406F7">
        <w:rPr>
          <w:rFonts w:asciiTheme="minorHAnsi" w:hAnsiTheme="minorHAnsi"/>
          <w:sz w:val="22"/>
          <w:szCs w:val="22"/>
        </w:rPr>
        <w:t xml:space="preserve"> cause significant adverse impact</w:t>
      </w:r>
      <w:r w:rsidR="001233D4" w:rsidRPr="009406F7">
        <w:rPr>
          <w:rFonts w:asciiTheme="minorHAnsi" w:hAnsiTheme="minorHAnsi"/>
          <w:sz w:val="22"/>
          <w:szCs w:val="22"/>
        </w:rPr>
        <w:t>s</w:t>
      </w:r>
      <w:r w:rsidRPr="009406F7">
        <w:rPr>
          <w:rFonts w:asciiTheme="minorHAnsi" w:hAnsiTheme="minorHAnsi"/>
          <w:sz w:val="22"/>
          <w:szCs w:val="22"/>
        </w:rPr>
        <w:t xml:space="preserve"> to the land, water, or air</w:t>
      </w:r>
      <w:r w:rsidR="001233D4" w:rsidRPr="009406F7">
        <w:rPr>
          <w:rFonts w:asciiTheme="minorHAnsi" w:hAnsiTheme="minorHAnsi"/>
          <w:sz w:val="22"/>
          <w:szCs w:val="22"/>
        </w:rPr>
        <w:t>;</w:t>
      </w:r>
      <w:r w:rsidRPr="009406F7">
        <w:rPr>
          <w:rFonts w:asciiTheme="minorHAnsi" w:hAnsiTheme="minorHAnsi"/>
          <w:sz w:val="22"/>
          <w:szCs w:val="22"/>
        </w:rPr>
        <w:t xml:space="preserve"> or c</w:t>
      </w:r>
      <w:r w:rsidR="001233D4" w:rsidRPr="009406F7">
        <w:rPr>
          <w:rFonts w:asciiTheme="minorHAnsi" w:hAnsiTheme="minorHAnsi"/>
          <w:sz w:val="22"/>
          <w:szCs w:val="22"/>
        </w:rPr>
        <w:t xml:space="preserve">ause severe damage to property.  </w:t>
      </w:r>
      <w:r w:rsidRPr="009406F7">
        <w:rPr>
          <w:rFonts w:asciiTheme="minorHAnsi" w:hAnsiTheme="minorHAnsi"/>
          <w:sz w:val="22"/>
          <w:szCs w:val="22"/>
        </w:rPr>
        <w:t xml:space="preserve">Notification </w:t>
      </w:r>
      <w:r w:rsidR="001233D4" w:rsidRPr="009406F7">
        <w:rPr>
          <w:rFonts w:asciiTheme="minorHAnsi" w:hAnsiTheme="minorHAnsi"/>
          <w:sz w:val="22"/>
          <w:szCs w:val="22"/>
        </w:rPr>
        <w:t>must</w:t>
      </w:r>
      <w:r w:rsidRPr="009406F7">
        <w:rPr>
          <w:rFonts w:asciiTheme="minorHAnsi" w:hAnsiTheme="minorHAnsi"/>
          <w:sz w:val="22"/>
          <w:szCs w:val="22"/>
        </w:rPr>
        <w:t xml:space="preserve"> be made regardless of the amount of the discharge.</w:t>
      </w:r>
      <w:r w:rsidR="001233D4" w:rsidRPr="009406F7">
        <w:rPr>
          <w:rStyle w:val="FootnoteReference"/>
          <w:rFonts w:asciiTheme="minorHAnsi" w:hAnsiTheme="minorHAnsi"/>
          <w:sz w:val="22"/>
          <w:szCs w:val="22"/>
        </w:rPr>
        <w:footnoteReference w:id="2"/>
      </w:r>
    </w:p>
    <w:p w:rsidR="0006411B" w:rsidRPr="009406F7" w:rsidRDefault="0006411B" w:rsidP="00307FA4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06411B" w:rsidRPr="009406F7" w:rsidRDefault="0006411B" w:rsidP="00307FA4">
      <w:pPr>
        <w:spacing w:line="240" w:lineRule="exact"/>
        <w:jc w:val="both"/>
        <w:rPr>
          <w:rFonts w:asciiTheme="minorHAnsi" w:hAnsiTheme="minorHAnsi"/>
          <w:b/>
          <w:sz w:val="22"/>
          <w:szCs w:val="22"/>
        </w:rPr>
      </w:pPr>
      <w:r w:rsidRPr="009406F7">
        <w:rPr>
          <w:rFonts w:asciiTheme="minorHAnsi" w:hAnsiTheme="minorHAnsi"/>
          <w:b/>
          <w:sz w:val="22"/>
          <w:szCs w:val="22"/>
        </w:rPr>
        <w:t>Discharges that Do Not Cause Emergency Conditions</w:t>
      </w:r>
    </w:p>
    <w:p w:rsidR="0006411B" w:rsidRPr="009406F7" w:rsidRDefault="0006411B" w:rsidP="00307FA4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47047B" w:rsidRPr="009406F7" w:rsidRDefault="0047047B" w:rsidP="00307FA4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9406F7">
        <w:rPr>
          <w:rFonts w:asciiTheme="minorHAnsi" w:hAnsiTheme="minorHAnsi"/>
          <w:sz w:val="22"/>
          <w:szCs w:val="22"/>
        </w:rPr>
        <w:t xml:space="preserve">In the event of an unauthorized discharge that does not </w:t>
      </w:r>
      <w:proofErr w:type="gramStart"/>
      <w:r w:rsidRPr="009406F7">
        <w:rPr>
          <w:rFonts w:asciiTheme="minorHAnsi" w:hAnsiTheme="minorHAnsi"/>
          <w:sz w:val="22"/>
          <w:szCs w:val="22"/>
        </w:rPr>
        <w:t>cause</w:t>
      </w:r>
      <w:proofErr w:type="gramEnd"/>
      <w:r w:rsidRPr="009406F7">
        <w:rPr>
          <w:rFonts w:asciiTheme="minorHAnsi" w:hAnsiTheme="minorHAnsi"/>
          <w:sz w:val="22"/>
          <w:szCs w:val="22"/>
        </w:rPr>
        <w:t xml:space="preserve"> an emergency condition, the discharger </w:t>
      </w:r>
      <w:r w:rsidR="001233D4" w:rsidRPr="009406F7">
        <w:rPr>
          <w:rFonts w:asciiTheme="minorHAnsi" w:hAnsiTheme="minorHAnsi"/>
          <w:sz w:val="22"/>
          <w:szCs w:val="22"/>
        </w:rPr>
        <w:t>must</w:t>
      </w:r>
      <w:r w:rsidRPr="009406F7">
        <w:rPr>
          <w:rFonts w:asciiTheme="minorHAnsi" w:hAnsiTheme="minorHAnsi"/>
          <w:sz w:val="22"/>
          <w:szCs w:val="22"/>
        </w:rPr>
        <w:t xml:space="preserve"> notify the Hotline within 24 hours after learning of the discharge </w:t>
      </w:r>
      <w:r w:rsidRPr="009406F7">
        <w:rPr>
          <w:rFonts w:asciiTheme="minorHAnsi" w:hAnsiTheme="minorHAnsi"/>
          <w:i/>
          <w:sz w:val="22"/>
          <w:szCs w:val="22"/>
        </w:rPr>
        <w:t>if</w:t>
      </w:r>
      <w:r w:rsidRPr="009406F7">
        <w:rPr>
          <w:rFonts w:asciiTheme="minorHAnsi" w:hAnsiTheme="minorHAnsi"/>
          <w:sz w:val="22"/>
          <w:szCs w:val="22"/>
        </w:rPr>
        <w:t xml:space="preserve"> the discharge exceeds a reportable quantity</w:t>
      </w:r>
      <w:r w:rsidR="001233D4" w:rsidRPr="009406F7">
        <w:rPr>
          <w:rFonts w:asciiTheme="minorHAnsi" w:hAnsiTheme="minorHAnsi"/>
          <w:sz w:val="22"/>
          <w:szCs w:val="22"/>
        </w:rPr>
        <w:t xml:space="preserve"> (RQ)</w:t>
      </w:r>
      <w:r w:rsidRPr="009406F7">
        <w:rPr>
          <w:rFonts w:asciiTheme="minorHAnsi" w:hAnsiTheme="minorHAnsi"/>
          <w:sz w:val="22"/>
          <w:szCs w:val="22"/>
        </w:rPr>
        <w:t>.</w:t>
      </w:r>
      <w:r w:rsidR="001233D4" w:rsidRPr="009406F7">
        <w:rPr>
          <w:rStyle w:val="FootnoteReference"/>
          <w:rFonts w:asciiTheme="minorHAnsi" w:hAnsiTheme="minorHAnsi"/>
          <w:sz w:val="22"/>
          <w:szCs w:val="22"/>
        </w:rPr>
        <w:footnoteReference w:id="3"/>
      </w:r>
      <w:r w:rsidR="001233D4" w:rsidRPr="009406F7">
        <w:rPr>
          <w:rFonts w:asciiTheme="minorHAnsi" w:hAnsiTheme="minorHAnsi"/>
          <w:sz w:val="22"/>
          <w:szCs w:val="22"/>
        </w:rPr>
        <w:t xml:space="preserve">  If the discharge does not exceed an RQ, the discharger must notify the Louisiana Department of Environmental Quality (LDEQ) in accordance with applicable </w:t>
      </w:r>
      <w:r w:rsidR="00794E21" w:rsidRPr="009406F7">
        <w:rPr>
          <w:rFonts w:asciiTheme="minorHAnsi" w:hAnsiTheme="minorHAnsi"/>
          <w:sz w:val="22"/>
          <w:szCs w:val="22"/>
        </w:rPr>
        <w:t>regulations.</w:t>
      </w:r>
      <w:r w:rsidR="00853331" w:rsidRPr="009406F7">
        <w:rPr>
          <w:rStyle w:val="FootnoteReference"/>
          <w:rFonts w:asciiTheme="minorHAnsi" w:hAnsiTheme="minorHAnsi"/>
          <w:sz w:val="22"/>
          <w:szCs w:val="22"/>
        </w:rPr>
        <w:footnoteReference w:id="4"/>
      </w:r>
    </w:p>
    <w:p w:rsidR="0047047B" w:rsidRPr="009406F7" w:rsidRDefault="0047047B" w:rsidP="00307FA4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47047B" w:rsidRPr="009406F7" w:rsidRDefault="001233D4" w:rsidP="00307FA4">
      <w:pPr>
        <w:spacing w:line="240" w:lineRule="exact"/>
        <w:jc w:val="both"/>
        <w:rPr>
          <w:rFonts w:asciiTheme="minorHAnsi" w:hAnsiTheme="minorHAnsi"/>
          <w:b/>
          <w:sz w:val="22"/>
          <w:szCs w:val="22"/>
        </w:rPr>
      </w:pPr>
      <w:r w:rsidRPr="009406F7">
        <w:rPr>
          <w:rFonts w:asciiTheme="minorHAnsi" w:hAnsiTheme="minorHAnsi"/>
          <w:b/>
          <w:sz w:val="22"/>
          <w:szCs w:val="22"/>
        </w:rPr>
        <w:t>Reportable Quantities</w:t>
      </w:r>
    </w:p>
    <w:p w:rsidR="00602509" w:rsidRPr="009406F7" w:rsidRDefault="00602509" w:rsidP="00307FA4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1233D4" w:rsidRPr="009406F7" w:rsidRDefault="00830C04" w:rsidP="00307FA4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9406F7">
        <w:rPr>
          <w:rFonts w:asciiTheme="minorHAnsi" w:hAnsiTheme="minorHAnsi"/>
          <w:sz w:val="22"/>
          <w:szCs w:val="22"/>
        </w:rPr>
        <w:t xml:space="preserve">As noted above, in the event </w:t>
      </w:r>
      <w:r w:rsidR="008F116E" w:rsidRPr="009406F7">
        <w:rPr>
          <w:rFonts w:asciiTheme="minorHAnsi" w:hAnsiTheme="minorHAnsi"/>
          <w:sz w:val="22"/>
          <w:szCs w:val="22"/>
        </w:rPr>
        <w:t xml:space="preserve">of </w:t>
      </w:r>
      <w:r w:rsidRPr="009406F7">
        <w:rPr>
          <w:rFonts w:asciiTheme="minorHAnsi" w:hAnsiTheme="minorHAnsi"/>
          <w:sz w:val="22"/>
          <w:szCs w:val="22"/>
        </w:rPr>
        <w:t xml:space="preserve">an unauthorized discharge that does not </w:t>
      </w:r>
      <w:proofErr w:type="gramStart"/>
      <w:r w:rsidRPr="009406F7">
        <w:rPr>
          <w:rFonts w:asciiTheme="minorHAnsi" w:hAnsiTheme="minorHAnsi"/>
          <w:sz w:val="22"/>
          <w:szCs w:val="22"/>
        </w:rPr>
        <w:t>cause</w:t>
      </w:r>
      <w:proofErr w:type="gramEnd"/>
      <w:r w:rsidRPr="009406F7">
        <w:rPr>
          <w:rFonts w:asciiTheme="minorHAnsi" w:hAnsiTheme="minorHAnsi"/>
          <w:sz w:val="22"/>
          <w:szCs w:val="22"/>
        </w:rPr>
        <w:t xml:space="preserve"> an emergency condition, the discharger must determine if the discharge exceeds an RQ.</w:t>
      </w:r>
      <w:r w:rsidR="008F116E" w:rsidRPr="009406F7">
        <w:rPr>
          <w:rFonts w:asciiTheme="minorHAnsi" w:hAnsiTheme="minorHAnsi"/>
          <w:sz w:val="22"/>
          <w:szCs w:val="22"/>
        </w:rPr>
        <w:t xml:space="preserve">  LDEQ’s RQ lis</w:t>
      </w:r>
      <w:r w:rsidR="00A66D7A" w:rsidRPr="009406F7">
        <w:rPr>
          <w:rFonts w:asciiTheme="minorHAnsi" w:hAnsiTheme="minorHAnsi"/>
          <w:sz w:val="22"/>
          <w:szCs w:val="22"/>
        </w:rPr>
        <w:t>t is set forth in LAC 33:I.3931; and, u</w:t>
      </w:r>
      <w:r w:rsidR="008F116E" w:rsidRPr="009406F7">
        <w:rPr>
          <w:rFonts w:asciiTheme="minorHAnsi" w:hAnsiTheme="minorHAnsi"/>
          <w:sz w:val="22"/>
          <w:szCs w:val="22"/>
        </w:rPr>
        <w:t>nless otherwise noted, t</w:t>
      </w:r>
      <w:r w:rsidR="001233D4" w:rsidRPr="009406F7">
        <w:rPr>
          <w:rFonts w:asciiTheme="minorHAnsi" w:hAnsiTheme="minorHAnsi"/>
          <w:sz w:val="22"/>
          <w:szCs w:val="22"/>
        </w:rPr>
        <w:t xml:space="preserve">he </w:t>
      </w:r>
      <w:r w:rsidR="003C6698" w:rsidRPr="009406F7">
        <w:rPr>
          <w:rFonts w:asciiTheme="minorHAnsi" w:hAnsiTheme="minorHAnsi"/>
          <w:sz w:val="22"/>
          <w:szCs w:val="22"/>
        </w:rPr>
        <w:t>“</w:t>
      </w:r>
      <w:r w:rsidR="001233D4" w:rsidRPr="009406F7">
        <w:rPr>
          <w:rFonts w:asciiTheme="minorHAnsi" w:hAnsiTheme="minorHAnsi"/>
          <w:sz w:val="22"/>
          <w:szCs w:val="22"/>
        </w:rPr>
        <w:t xml:space="preserve">basis for determination of the </w:t>
      </w:r>
      <w:r w:rsidR="008F116E" w:rsidRPr="009406F7">
        <w:rPr>
          <w:rFonts w:asciiTheme="minorHAnsi" w:hAnsiTheme="minorHAnsi"/>
          <w:sz w:val="22"/>
          <w:szCs w:val="22"/>
        </w:rPr>
        <w:t>RQ</w:t>
      </w:r>
      <w:r w:rsidR="001233D4" w:rsidRPr="009406F7">
        <w:rPr>
          <w:rFonts w:asciiTheme="minorHAnsi" w:hAnsiTheme="minorHAnsi"/>
          <w:sz w:val="22"/>
          <w:szCs w:val="22"/>
        </w:rPr>
        <w:t xml:space="preserve"> for any pollutant is that quantity of the substance discharged continuously, intermittently, or as a one-time mass discharge within any continuous 24-hour period.</w:t>
      </w:r>
      <w:r w:rsidR="003C6698" w:rsidRPr="009406F7">
        <w:rPr>
          <w:rFonts w:asciiTheme="minorHAnsi" w:hAnsiTheme="minorHAnsi"/>
          <w:sz w:val="22"/>
          <w:szCs w:val="22"/>
        </w:rPr>
        <w:t>”</w:t>
      </w:r>
      <w:r w:rsidR="008F116E" w:rsidRPr="009406F7">
        <w:rPr>
          <w:rStyle w:val="FootnoteReference"/>
          <w:rFonts w:asciiTheme="minorHAnsi" w:hAnsiTheme="minorHAnsi"/>
          <w:sz w:val="22"/>
          <w:szCs w:val="22"/>
        </w:rPr>
        <w:footnoteReference w:id="5"/>
      </w:r>
    </w:p>
    <w:p w:rsidR="001233D4" w:rsidRPr="00F00B3F" w:rsidRDefault="001233D4" w:rsidP="00F00B3F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9406F7" w:rsidRPr="00F00B3F" w:rsidRDefault="009406F7" w:rsidP="00F00B3F">
      <w:pPr>
        <w:spacing w:line="240" w:lineRule="exact"/>
        <w:jc w:val="both"/>
        <w:rPr>
          <w:rFonts w:asciiTheme="minorHAnsi" w:hAnsiTheme="minorHAnsi"/>
          <w:i/>
          <w:sz w:val="22"/>
          <w:szCs w:val="22"/>
        </w:rPr>
      </w:pPr>
      <w:r w:rsidRPr="00F00B3F">
        <w:rPr>
          <w:rFonts w:asciiTheme="minorHAnsi" w:hAnsiTheme="minorHAnsi"/>
          <w:i/>
          <w:sz w:val="22"/>
          <w:szCs w:val="22"/>
        </w:rPr>
        <w:t xml:space="preserve">Discharges from Permitted </w:t>
      </w:r>
      <w:r w:rsidR="00AE251C">
        <w:rPr>
          <w:rFonts w:asciiTheme="minorHAnsi" w:hAnsiTheme="minorHAnsi"/>
          <w:i/>
          <w:sz w:val="22"/>
          <w:szCs w:val="22"/>
        </w:rPr>
        <w:t>Emission Points</w:t>
      </w:r>
    </w:p>
    <w:p w:rsidR="009406F7" w:rsidRPr="00F00B3F" w:rsidRDefault="009406F7" w:rsidP="00F00B3F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9406F7" w:rsidRPr="00F00B3F" w:rsidRDefault="00A66D7A" w:rsidP="00F00B3F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F00B3F">
        <w:rPr>
          <w:rFonts w:asciiTheme="minorHAnsi" w:hAnsiTheme="minorHAnsi"/>
          <w:sz w:val="22"/>
          <w:szCs w:val="22"/>
        </w:rPr>
        <w:t xml:space="preserve">If the unauthorized </w:t>
      </w:r>
      <w:r w:rsidR="00EF56B6" w:rsidRPr="00F00B3F">
        <w:rPr>
          <w:rFonts w:asciiTheme="minorHAnsi" w:hAnsiTheme="minorHAnsi"/>
          <w:sz w:val="22"/>
          <w:szCs w:val="22"/>
        </w:rPr>
        <w:t>discharge</w:t>
      </w:r>
      <w:r w:rsidR="00EF56B6" w:rsidRPr="00F00B3F">
        <w:rPr>
          <w:rStyle w:val="FootnoteReference"/>
          <w:rFonts w:asciiTheme="minorHAnsi" w:hAnsiTheme="minorHAnsi"/>
          <w:sz w:val="22"/>
          <w:szCs w:val="22"/>
        </w:rPr>
        <w:footnoteReference w:id="6"/>
      </w:r>
      <w:r w:rsidRPr="00F00B3F">
        <w:rPr>
          <w:rFonts w:asciiTheme="minorHAnsi" w:hAnsiTheme="minorHAnsi"/>
          <w:sz w:val="22"/>
          <w:szCs w:val="22"/>
        </w:rPr>
        <w:t xml:space="preserve"> originates from a</w:t>
      </w:r>
      <w:r w:rsidR="00EF56B6" w:rsidRPr="00F00B3F">
        <w:rPr>
          <w:rFonts w:asciiTheme="minorHAnsi" w:hAnsiTheme="minorHAnsi"/>
          <w:sz w:val="22"/>
          <w:szCs w:val="22"/>
        </w:rPr>
        <w:t>n emission point</w:t>
      </w:r>
      <w:r w:rsidR="009406F7" w:rsidRPr="00F00B3F">
        <w:rPr>
          <w:rFonts w:asciiTheme="minorHAnsi" w:hAnsiTheme="minorHAnsi"/>
          <w:sz w:val="22"/>
          <w:szCs w:val="22"/>
        </w:rPr>
        <w:t xml:space="preserve"> addressed in an air permit issued pursuant to LAC</w:t>
      </w:r>
      <w:r w:rsidR="00EF56B6" w:rsidRPr="00F00B3F">
        <w:rPr>
          <w:rFonts w:asciiTheme="minorHAnsi" w:hAnsiTheme="minorHAnsi"/>
          <w:sz w:val="22"/>
          <w:szCs w:val="22"/>
        </w:rPr>
        <w:t xml:space="preserve"> 33:III.Chapter 3 or Chapter 5, the permittee may </w:t>
      </w:r>
      <w:r w:rsidR="00514DAA" w:rsidRPr="00F00B3F">
        <w:rPr>
          <w:rFonts w:asciiTheme="minorHAnsi" w:hAnsiTheme="minorHAnsi"/>
          <w:sz w:val="22"/>
          <w:szCs w:val="22"/>
        </w:rPr>
        <w:t>use the permitted maximum pound per hour rate for the affected emission point as the “floor” for determining if an RQ has been exceeded.</w:t>
      </w:r>
      <w:r w:rsidR="00E03448" w:rsidRPr="00F00B3F">
        <w:rPr>
          <w:rFonts w:asciiTheme="minorHAnsi" w:hAnsiTheme="minorHAnsi"/>
          <w:sz w:val="22"/>
          <w:szCs w:val="22"/>
        </w:rPr>
        <w:t xml:space="preserve">  </w:t>
      </w:r>
      <w:r w:rsidR="00514DAA" w:rsidRPr="00F00B3F">
        <w:rPr>
          <w:rFonts w:asciiTheme="minorHAnsi" w:hAnsiTheme="minorHAnsi"/>
          <w:sz w:val="22"/>
          <w:szCs w:val="22"/>
        </w:rPr>
        <w:t>However, i</w:t>
      </w:r>
      <w:r w:rsidR="009406F7" w:rsidRPr="00F00B3F">
        <w:rPr>
          <w:rFonts w:asciiTheme="minorHAnsi" w:hAnsiTheme="minorHAnsi"/>
          <w:sz w:val="22"/>
          <w:szCs w:val="22"/>
        </w:rPr>
        <w:t xml:space="preserve">f a permittee chooses to </w:t>
      </w:r>
      <w:r w:rsidR="00514DAA" w:rsidRPr="00F00B3F">
        <w:rPr>
          <w:rFonts w:asciiTheme="minorHAnsi" w:hAnsiTheme="minorHAnsi"/>
          <w:sz w:val="22"/>
          <w:szCs w:val="22"/>
        </w:rPr>
        <w:t xml:space="preserve">do so, </w:t>
      </w:r>
      <w:r w:rsidR="00E03448" w:rsidRPr="00F00B3F">
        <w:rPr>
          <w:rFonts w:asciiTheme="minorHAnsi" w:hAnsiTheme="minorHAnsi"/>
          <w:sz w:val="22"/>
          <w:szCs w:val="22"/>
        </w:rPr>
        <w:t xml:space="preserve">emissions attributed to the </w:t>
      </w:r>
      <w:r w:rsidR="00514DAA" w:rsidRPr="00F00B3F">
        <w:rPr>
          <w:rFonts w:asciiTheme="minorHAnsi" w:hAnsiTheme="minorHAnsi"/>
          <w:sz w:val="22"/>
          <w:szCs w:val="22"/>
        </w:rPr>
        <w:t xml:space="preserve">unauthorized discharge </w:t>
      </w:r>
      <w:r w:rsidR="00E03448" w:rsidRPr="00F00B3F">
        <w:rPr>
          <w:rFonts w:asciiTheme="minorHAnsi" w:hAnsiTheme="minorHAnsi"/>
          <w:sz w:val="22"/>
          <w:szCs w:val="22"/>
        </w:rPr>
        <w:t>must</w:t>
      </w:r>
      <w:r w:rsidR="00514DAA" w:rsidRPr="00F00B3F">
        <w:rPr>
          <w:rFonts w:asciiTheme="minorHAnsi" w:hAnsiTheme="minorHAnsi"/>
          <w:sz w:val="22"/>
          <w:szCs w:val="22"/>
        </w:rPr>
        <w:t xml:space="preserve"> be included in the annual emissions total for </w:t>
      </w:r>
      <w:r w:rsidR="00E03448" w:rsidRPr="00F00B3F">
        <w:rPr>
          <w:rFonts w:asciiTheme="minorHAnsi" w:hAnsiTheme="minorHAnsi"/>
          <w:sz w:val="22"/>
          <w:szCs w:val="22"/>
        </w:rPr>
        <w:t>the affected</w:t>
      </w:r>
      <w:r w:rsidR="00514DAA" w:rsidRPr="00F00B3F">
        <w:rPr>
          <w:rFonts w:asciiTheme="minorHAnsi" w:hAnsiTheme="minorHAnsi"/>
          <w:sz w:val="22"/>
          <w:szCs w:val="22"/>
        </w:rPr>
        <w:t xml:space="preserve"> emission point for purposes of </w:t>
      </w:r>
      <w:r w:rsidR="00E03448" w:rsidRPr="00F00B3F">
        <w:rPr>
          <w:rFonts w:asciiTheme="minorHAnsi" w:hAnsiTheme="minorHAnsi"/>
          <w:sz w:val="22"/>
          <w:szCs w:val="22"/>
        </w:rPr>
        <w:t>determining</w:t>
      </w:r>
      <w:r w:rsidR="00514DAA" w:rsidRPr="00F00B3F">
        <w:rPr>
          <w:rFonts w:asciiTheme="minorHAnsi" w:hAnsiTheme="minorHAnsi"/>
          <w:sz w:val="22"/>
          <w:szCs w:val="22"/>
        </w:rPr>
        <w:t xml:space="preserve"> compliance with ton per year limitations.</w:t>
      </w:r>
    </w:p>
    <w:p w:rsidR="00514DAA" w:rsidRPr="00F00B3F" w:rsidRDefault="00514DAA" w:rsidP="00F00B3F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9406F7" w:rsidRPr="00F00B3F" w:rsidRDefault="00514DAA" w:rsidP="00F00B3F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F00B3F">
        <w:rPr>
          <w:rFonts w:asciiTheme="minorHAnsi" w:hAnsiTheme="minorHAnsi"/>
          <w:sz w:val="22"/>
          <w:szCs w:val="22"/>
        </w:rPr>
        <w:t xml:space="preserve">Alternatively, the permittee may choose to use a “floor” of zero.  In such case, </w:t>
      </w:r>
      <w:r w:rsidR="00E03448" w:rsidRPr="00F00B3F">
        <w:rPr>
          <w:rFonts w:asciiTheme="minorHAnsi" w:hAnsiTheme="minorHAnsi"/>
          <w:sz w:val="22"/>
          <w:szCs w:val="22"/>
        </w:rPr>
        <w:t>emissions attributed to the</w:t>
      </w:r>
      <w:r w:rsidRPr="00F00B3F">
        <w:rPr>
          <w:rFonts w:asciiTheme="minorHAnsi" w:hAnsiTheme="minorHAnsi"/>
          <w:sz w:val="22"/>
          <w:szCs w:val="22"/>
        </w:rPr>
        <w:t xml:space="preserve"> unauthorized discharge should </w:t>
      </w:r>
      <w:r w:rsidR="00F00B3F" w:rsidRPr="00F00B3F">
        <w:rPr>
          <w:rFonts w:asciiTheme="minorHAnsi" w:hAnsiTheme="minorHAnsi"/>
          <w:sz w:val="22"/>
          <w:szCs w:val="22"/>
        </w:rPr>
        <w:t>not be</w:t>
      </w:r>
      <w:r w:rsidRPr="00F00B3F">
        <w:rPr>
          <w:rFonts w:asciiTheme="minorHAnsi" w:hAnsiTheme="minorHAnsi"/>
          <w:sz w:val="22"/>
          <w:szCs w:val="22"/>
        </w:rPr>
        <w:t xml:space="preserve"> aggregated with </w:t>
      </w:r>
      <w:r w:rsidR="00EF4D83" w:rsidRPr="00F00B3F">
        <w:rPr>
          <w:rFonts w:asciiTheme="minorHAnsi" w:hAnsiTheme="minorHAnsi"/>
          <w:sz w:val="22"/>
          <w:szCs w:val="22"/>
        </w:rPr>
        <w:t>other</w:t>
      </w:r>
      <w:r w:rsidRPr="00F00B3F">
        <w:rPr>
          <w:rFonts w:asciiTheme="minorHAnsi" w:hAnsiTheme="minorHAnsi"/>
          <w:sz w:val="22"/>
          <w:szCs w:val="22"/>
        </w:rPr>
        <w:t xml:space="preserve"> emissions </w:t>
      </w:r>
      <w:r w:rsidR="00EF4D83" w:rsidRPr="00F00B3F">
        <w:rPr>
          <w:rFonts w:asciiTheme="minorHAnsi" w:hAnsiTheme="minorHAnsi"/>
          <w:sz w:val="22"/>
          <w:szCs w:val="22"/>
        </w:rPr>
        <w:t xml:space="preserve">from the emission point </w:t>
      </w:r>
      <w:r w:rsidRPr="00F00B3F">
        <w:rPr>
          <w:rFonts w:asciiTheme="minorHAnsi" w:hAnsiTheme="minorHAnsi"/>
          <w:sz w:val="22"/>
          <w:szCs w:val="22"/>
        </w:rPr>
        <w:t>for purposes of determining compliance with ton per year limitations.</w:t>
      </w:r>
    </w:p>
    <w:p w:rsidR="006C741C" w:rsidRPr="00F00B3F" w:rsidRDefault="006C741C" w:rsidP="00F00B3F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6C741C" w:rsidRPr="00F00B3F" w:rsidRDefault="00E03448" w:rsidP="00F00B3F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F00B3F">
        <w:rPr>
          <w:rFonts w:asciiTheme="minorHAnsi" w:hAnsiTheme="minorHAnsi"/>
          <w:sz w:val="22"/>
          <w:szCs w:val="22"/>
        </w:rPr>
        <w:t xml:space="preserve">In both cases, </w:t>
      </w:r>
      <w:r w:rsidR="00F00B3F" w:rsidRPr="00F00B3F">
        <w:rPr>
          <w:rFonts w:asciiTheme="minorHAnsi" w:hAnsiTheme="minorHAnsi"/>
          <w:sz w:val="22"/>
          <w:szCs w:val="22"/>
        </w:rPr>
        <w:t>emissions attributed to the unauthorized discharge should be reported to LDEQ’s</w:t>
      </w:r>
      <w:r w:rsidR="00F00B3F" w:rsidRPr="00F00B3F">
        <w:rPr>
          <w:rFonts w:asciiTheme="minorHAnsi" w:hAnsiTheme="minorHAnsi" w:cs="Segoe UI"/>
          <w:sz w:val="22"/>
          <w:szCs w:val="22"/>
        </w:rPr>
        <w:t xml:space="preserve"> </w:t>
      </w:r>
      <w:r w:rsidR="00F00B3F" w:rsidRPr="00F00B3F">
        <w:rPr>
          <w:rFonts w:asciiTheme="minorHAnsi" w:hAnsiTheme="minorHAnsi" w:cs="Calibri"/>
          <w:sz w:val="22"/>
          <w:szCs w:val="22"/>
        </w:rPr>
        <w:t>Emissions Reporting and Inventory C</w:t>
      </w:r>
      <w:r w:rsidR="00AE251C">
        <w:rPr>
          <w:rFonts w:asciiTheme="minorHAnsi" w:hAnsiTheme="minorHAnsi" w:cs="Calibri"/>
          <w:sz w:val="22"/>
          <w:szCs w:val="22"/>
        </w:rPr>
        <w:t>enter (ERIC) per LAC 33:III.919, if applicable.</w:t>
      </w:r>
    </w:p>
    <w:p w:rsidR="006C741C" w:rsidRPr="00F00B3F" w:rsidRDefault="006C741C" w:rsidP="00F00B3F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6C741C" w:rsidRPr="00F00B3F" w:rsidRDefault="006C741C" w:rsidP="00F00B3F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6C741C" w:rsidRPr="00F00B3F" w:rsidRDefault="006C741C" w:rsidP="00F00B3F">
      <w:pPr>
        <w:spacing w:line="240" w:lineRule="exact"/>
        <w:jc w:val="both"/>
        <w:rPr>
          <w:rFonts w:asciiTheme="minorHAnsi" w:hAnsiTheme="minorHAnsi"/>
          <w:i/>
          <w:sz w:val="22"/>
          <w:szCs w:val="22"/>
        </w:rPr>
      </w:pPr>
      <w:r w:rsidRPr="00F00B3F">
        <w:rPr>
          <w:rFonts w:asciiTheme="minorHAnsi" w:hAnsiTheme="minorHAnsi"/>
          <w:i/>
          <w:sz w:val="22"/>
          <w:szCs w:val="22"/>
        </w:rPr>
        <w:t>Discharges from Unpermitted Sources</w:t>
      </w:r>
    </w:p>
    <w:p w:rsidR="006C741C" w:rsidRPr="00F00B3F" w:rsidRDefault="006C741C" w:rsidP="00F00B3F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9406F7" w:rsidRPr="00F00B3F" w:rsidRDefault="006C741C" w:rsidP="00F00B3F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F00B3F">
        <w:rPr>
          <w:rFonts w:asciiTheme="minorHAnsi" w:hAnsiTheme="minorHAnsi"/>
          <w:sz w:val="22"/>
          <w:szCs w:val="22"/>
        </w:rPr>
        <w:t>If the unauthorized discharge does not originate from an emission point addressed in an air permit, then the RQ “floor”</w:t>
      </w:r>
      <w:r w:rsidR="007B7568" w:rsidRPr="00F00B3F">
        <w:rPr>
          <w:rFonts w:asciiTheme="minorHAnsi" w:hAnsiTheme="minorHAnsi"/>
          <w:sz w:val="22"/>
          <w:szCs w:val="22"/>
        </w:rPr>
        <w:t xml:space="preserve"> shall be zero in all instances.</w:t>
      </w:r>
    </w:p>
    <w:p w:rsidR="009406F7" w:rsidRPr="00F00B3F" w:rsidRDefault="009406F7" w:rsidP="00F00B3F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F00B3F" w:rsidRPr="00F00B3F" w:rsidRDefault="00F00B3F" w:rsidP="00F00B3F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F00B3F">
        <w:rPr>
          <w:rFonts w:asciiTheme="minorHAnsi" w:hAnsiTheme="minorHAnsi"/>
          <w:sz w:val="22"/>
          <w:szCs w:val="22"/>
        </w:rPr>
        <w:t>As before, emissions attributed to the unauthorized disch</w:t>
      </w:r>
      <w:r w:rsidR="007463DB">
        <w:rPr>
          <w:rFonts w:asciiTheme="minorHAnsi" w:hAnsiTheme="minorHAnsi"/>
          <w:sz w:val="22"/>
          <w:szCs w:val="22"/>
        </w:rPr>
        <w:t>arge should be reported to ERIC, if applicable.</w:t>
      </w:r>
    </w:p>
    <w:p w:rsidR="00F00B3F" w:rsidRPr="00F00B3F" w:rsidRDefault="00F00B3F" w:rsidP="00F00B3F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9406F7" w:rsidRPr="006C741C" w:rsidRDefault="006C741C" w:rsidP="00307FA4">
      <w:pPr>
        <w:spacing w:line="240" w:lineRule="exact"/>
        <w:jc w:val="both"/>
        <w:rPr>
          <w:rFonts w:asciiTheme="minorHAnsi" w:hAnsiTheme="minorHAnsi"/>
          <w:i/>
          <w:sz w:val="22"/>
          <w:szCs w:val="22"/>
        </w:rPr>
      </w:pPr>
      <w:r w:rsidRPr="006C741C">
        <w:rPr>
          <w:rFonts w:asciiTheme="minorHAnsi" w:hAnsiTheme="minorHAnsi"/>
          <w:i/>
          <w:sz w:val="22"/>
          <w:szCs w:val="22"/>
        </w:rPr>
        <w:t>Examples</w:t>
      </w:r>
    </w:p>
    <w:p w:rsidR="00D370BE" w:rsidRPr="006C741C" w:rsidRDefault="00D370BE" w:rsidP="00307FA4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6C741C" w:rsidRPr="006C741C" w:rsidRDefault="006C741C" w:rsidP="00307FA4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the following examples, the permitted maximum pound per hour rate for pollutant </w:t>
      </w:r>
      <w:r w:rsidRPr="006C741C">
        <w:rPr>
          <w:rFonts w:asciiTheme="minorHAnsi" w:hAnsiTheme="minorHAnsi"/>
          <w:i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is 500 pound</w:t>
      </w:r>
      <w:r w:rsidR="007463DB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per hour and the RQ for pollutant </w:t>
      </w:r>
      <w:r w:rsidRPr="006C741C">
        <w:rPr>
          <w:rFonts w:asciiTheme="minorHAnsi" w:hAnsiTheme="minorHAnsi"/>
          <w:i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is 1000 pounds.  In all cases, the unauthorized discharge does not cause an emergency condition.</w:t>
      </w:r>
    </w:p>
    <w:p w:rsidR="006C741C" w:rsidRPr="006C741C" w:rsidRDefault="006C741C" w:rsidP="00307FA4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6C741C" w:rsidRPr="006C741C" w:rsidRDefault="006C741C" w:rsidP="00307FA4">
      <w:pPr>
        <w:pStyle w:val="ListParagraph"/>
        <w:numPr>
          <w:ilvl w:val="0"/>
          <w:numId w:val="8"/>
        </w:numPr>
        <w:spacing w:line="240" w:lineRule="exact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 unauthorized discharge of 1400 pounds of </w:t>
      </w:r>
      <w:r w:rsidRPr="006C741C">
        <w:rPr>
          <w:rFonts w:asciiTheme="minorHAnsi" w:hAnsiTheme="minorHAnsi"/>
          <w:i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originates from </w:t>
      </w:r>
      <w:r w:rsidR="007463DB">
        <w:rPr>
          <w:rFonts w:asciiTheme="minorHAnsi" w:hAnsiTheme="minorHAnsi"/>
          <w:sz w:val="22"/>
          <w:szCs w:val="22"/>
        </w:rPr>
        <w:t xml:space="preserve">a </w:t>
      </w:r>
      <w:r>
        <w:rPr>
          <w:rFonts w:asciiTheme="minorHAnsi" w:hAnsiTheme="minorHAnsi"/>
          <w:sz w:val="22"/>
          <w:szCs w:val="22"/>
        </w:rPr>
        <w:t>permitted flare.</w:t>
      </w:r>
    </w:p>
    <w:p w:rsidR="006C741C" w:rsidRPr="006C741C" w:rsidRDefault="006C741C" w:rsidP="00307FA4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6C741C" w:rsidRDefault="006C741C" w:rsidP="00307FA4">
      <w:pPr>
        <w:spacing w:line="240" w:lineRule="exact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this example, the unauthorized discharge does </w:t>
      </w:r>
      <w:r w:rsidRPr="00307FA4">
        <w:rPr>
          <w:rFonts w:asciiTheme="minorHAnsi" w:hAnsiTheme="minorHAnsi"/>
          <w:i/>
          <w:sz w:val="22"/>
          <w:szCs w:val="22"/>
        </w:rPr>
        <w:t>not</w:t>
      </w:r>
      <w:r>
        <w:rPr>
          <w:rFonts w:asciiTheme="minorHAnsi" w:hAnsiTheme="minorHAnsi"/>
          <w:sz w:val="22"/>
          <w:szCs w:val="22"/>
        </w:rPr>
        <w:t xml:space="preserve"> have to be reported per LAC 33:I.</w:t>
      </w:r>
      <w:r w:rsidR="00307FA4">
        <w:rPr>
          <w:rFonts w:asciiTheme="minorHAnsi" w:hAnsiTheme="minorHAnsi"/>
          <w:sz w:val="22"/>
          <w:szCs w:val="22"/>
        </w:rPr>
        <w:t xml:space="preserve">3917.A because excess emissions of </w:t>
      </w:r>
      <w:r w:rsidR="00307FA4" w:rsidRPr="00307FA4">
        <w:rPr>
          <w:rFonts w:asciiTheme="minorHAnsi" w:hAnsiTheme="minorHAnsi"/>
          <w:i/>
          <w:sz w:val="22"/>
          <w:szCs w:val="22"/>
        </w:rPr>
        <w:t>A</w:t>
      </w:r>
      <w:r w:rsidR="00307FA4">
        <w:rPr>
          <w:rFonts w:asciiTheme="minorHAnsi" w:hAnsiTheme="minorHAnsi"/>
          <w:sz w:val="22"/>
          <w:szCs w:val="22"/>
        </w:rPr>
        <w:t xml:space="preserve"> are less than 1500 pounds (i.e., the permitted maximum pound per hour rate plus the RQ).</w:t>
      </w:r>
    </w:p>
    <w:p w:rsidR="006C741C" w:rsidRPr="006C741C" w:rsidRDefault="006C741C" w:rsidP="00307FA4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6C741C" w:rsidRPr="006C741C" w:rsidRDefault="006C741C" w:rsidP="00307FA4">
      <w:pPr>
        <w:pStyle w:val="ListParagraph"/>
        <w:numPr>
          <w:ilvl w:val="0"/>
          <w:numId w:val="8"/>
        </w:numPr>
        <w:spacing w:line="240" w:lineRule="exact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 unauthorized discharge of 1400 pounds of </w:t>
      </w:r>
      <w:r w:rsidRPr="006C741C">
        <w:rPr>
          <w:rFonts w:asciiTheme="minorHAnsi" w:hAnsiTheme="minorHAnsi"/>
          <w:i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originate</w:t>
      </w:r>
      <w:r w:rsidR="00307FA4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from a previously undetected and unpermitted leak in a pipeline.</w:t>
      </w:r>
    </w:p>
    <w:p w:rsidR="00307FA4" w:rsidRPr="00307FA4" w:rsidRDefault="00307FA4" w:rsidP="00307FA4">
      <w:pPr>
        <w:pStyle w:val="ListParagraph"/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307FA4" w:rsidRPr="00307FA4" w:rsidRDefault="00307FA4" w:rsidP="00307FA4">
      <w:pPr>
        <w:spacing w:line="240" w:lineRule="exact"/>
        <w:ind w:left="360"/>
        <w:jc w:val="both"/>
        <w:rPr>
          <w:rFonts w:asciiTheme="minorHAnsi" w:hAnsiTheme="minorHAnsi"/>
          <w:sz w:val="22"/>
          <w:szCs w:val="22"/>
        </w:rPr>
      </w:pPr>
      <w:r w:rsidRPr="00307FA4">
        <w:rPr>
          <w:rFonts w:asciiTheme="minorHAnsi" w:hAnsiTheme="minorHAnsi"/>
          <w:sz w:val="22"/>
          <w:szCs w:val="22"/>
        </w:rPr>
        <w:t xml:space="preserve">In this example, the unauthorized discharge </w:t>
      </w:r>
      <w:r>
        <w:rPr>
          <w:rFonts w:asciiTheme="minorHAnsi" w:hAnsiTheme="minorHAnsi"/>
          <w:sz w:val="22"/>
          <w:szCs w:val="22"/>
        </w:rPr>
        <w:t>has</w:t>
      </w:r>
      <w:r w:rsidRPr="00307FA4">
        <w:rPr>
          <w:rFonts w:asciiTheme="minorHAnsi" w:hAnsiTheme="minorHAnsi"/>
          <w:sz w:val="22"/>
          <w:szCs w:val="22"/>
        </w:rPr>
        <w:t xml:space="preserve"> to be reported per LAC 33:I.3917.A because excess emissions of </w:t>
      </w:r>
      <w:r w:rsidRPr="00307FA4">
        <w:rPr>
          <w:rFonts w:asciiTheme="minorHAnsi" w:hAnsiTheme="minorHAnsi"/>
          <w:i/>
          <w:sz w:val="22"/>
          <w:szCs w:val="22"/>
        </w:rPr>
        <w:t>A</w:t>
      </w:r>
      <w:r w:rsidRPr="00307FA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exceed</w:t>
      </w:r>
      <w:r w:rsidRPr="00307FA4">
        <w:rPr>
          <w:rFonts w:asciiTheme="minorHAnsi" w:hAnsiTheme="minorHAnsi"/>
          <w:sz w:val="22"/>
          <w:szCs w:val="22"/>
        </w:rPr>
        <w:t xml:space="preserve"> 1</w:t>
      </w:r>
      <w:r>
        <w:rPr>
          <w:rFonts w:asciiTheme="minorHAnsi" w:hAnsiTheme="minorHAnsi"/>
          <w:sz w:val="22"/>
          <w:szCs w:val="22"/>
        </w:rPr>
        <w:t>0</w:t>
      </w:r>
      <w:r w:rsidRPr="00307FA4">
        <w:rPr>
          <w:rFonts w:asciiTheme="minorHAnsi" w:hAnsiTheme="minorHAnsi"/>
          <w:sz w:val="22"/>
          <w:szCs w:val="22"/>
        </w:rPr>
        <w:t xml:space="preserve">00 pounds (i.e., </w:t>
      </w:r>
      <w:r>
        <w:rPr>
          <w:rFonts w:asciiTheme="minorHAnsi" w:hAnsiTheme="minorHAnsi"/>
          <w:sz w:val="22"/>
          <w:szCs w:val="22"/>
        </w:rPr>
        <w:t>the RQ “floor” of zero</w:t>
      </w:r>
      <w:r w:rsidRPr="00307FA4">
        <w:rPr>
          <w:rFonts w:asciiTheme="minorHAnsi" w:hAnsiTheme="minorHAnsi"/>
          <w:sz w:val="22"/>
          <w:szCs w:val="22"/>
        </w:rPr>
        <w:t xml:space="preserve"> plus the RQ).</w:t>
      </w:r>
    </w:p>
    <w:p w:rsidR="00307FA4" w:rsidRPr="006C741C" w:rsidRDefault="00307FA4" w:rsidP="00307FA4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307FA4" w:rsidRPr="006C741C" w:rsidRDefault="00307FA4" w:rsidP="00307FA4">
      <w:pPr>
        <w:pStyle w:val="ListParagraph"/>
        <w:numPr>
          <w:ilvl w:val="0"/>
          <w:numId w:val="8"/>
        </w:numPr>
        <w:spacing w:line="240" w:lineRule="exact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 unauthorized discharge of 1600 pounds of </w:t>
      </w:r>
      <w:r w:rsidRPr="006C741C">
        <w:rPr>
          <w:rFonts w:asciiTheme="minorHAnsi" w:hAnsiTheme="minorHAnsi"/>
          <w:i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originates from </w:t>
      </w:r>
      <w:r w:rsidR="007463DB">
        <w:rPr>
          <w:rFonts w:asciiTheme="minorHAnsi" w:hAnsiTheme="minorHAnsi"/>
          <w:sz w:val="22"/>
          <w:szCs w:val="22"/>
        </w:rPr>
        <w:t xml:space="preserve">a </w:t>
      </w:r>
      <w:r>
        <w:rPr>
          <w:rFonts w:asciiTheme="minorHAnsi" w:hAnsiTheme="minorHAnsi"/>
          <w:sz w:val="22"/>
          <w:szCs w:val="22"/>
        </w:rPr>
        <w:t>permitted flare.</w:t>
      </w:r>
    </w:p>
    <w:p w:rsidR="00307FA4" w:rsidRPr="006C741C" w:rsidRDefault="00307FA4" w:rsidP="00307FA4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307FA4" w:rsidRDefault="00307FA4" w:rsidP="00307FA4">
      <w:pPr>
        <w:spacing w:line="240" w:lineRule="exact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this example, the unauthorized discharge has to be reported per LAC 33:I.3917.A because excess emissions of </w:t>
      </w:r>
      <w:r w:rsidRPr="00307FA4">
        <w:rPr>
          <w:rFonts w:asciiTheme="minorHAnsi" w:hAnsiTheme="minorHAnsi"/>
          <w:i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exceed</w:t>
      </w:r>
      <w:r w:rsidRPr="00307FA4">
        <w:rPr>
          <w:rFonts w:asciiTheme="minorHAnsi" w:hAnsiTheme="minorHAnsi"/>
          <w:sz w:val="22"/>
          <w:szCs w:val="22"/>
        </w:rPr>
        <w:t xml:space="preserve"> 1</w:t>
      </w:r>
      <w:r>
        <w:rPr>
          <w:rFonts w:asciiTheme="minorHAnsi" w:hAnsiTheme="minorHAnsi"/>
          <w:sz w:val="22"/>
          <w:szCs w:val="22"/>
        </w:rPr>
        <w:t>5</w:t>
      </w:r>
      <w:r w:rsidRPr="00307FA4">
        <w:rPr>
          <w:rFonts w:asciiTheme="minorHAnsi" w:hAnsiTheme="minorHAnsi"/>
          <w:sz w:val="22"/>
          <w:szCs w:val="22"/>
        </w:rPr>
        <w:t xml:space="preserve">00 pounds </w:t>
      </w:r>
      <w:r>
        <w:rPr>
          <w:rFonts w:asciiTheme="minorHAnsi" w:hAnsiTheme="minorHAnsi"/>
          <w:sz w:val="22"/>
          <w:szCs w:val="22"/>
        </w:rPr>
        <w:t>(i.e., the permitted maximum pound per hour rate plus the RQ).</w:t>
      </w:r>
    </w:p>
    <w:p w:rsidR="00307FA4" w:rsidRPr="006C741C" w:rsidRDefault="00307FA4" w:rsidP="00307FA4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307FA4" w:rsidRPr="006C741C" w:rsidRDefault="00307FA4" w:rsidP="00307FA4">
      <w:pPr>
        <w:pStyle w:val="ListParagraph"/>
        <w:numPr>
          <w:ilvl w:val="0"/>
          <w:numId w:val="8"/>
        </w:numPr>
        <w:spacing w:line="240" w:lineRule="exact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 unauthorized discharge of 900 pounds of </w:t>
      </w:r>
      <w:r w:rsidRPr="006C741C">
        <w:rPr>
          <w:rFonts w:asciiTheme="minorHAnsi" w:hAnsiTheme="minorHAnsi"/>
          <w:i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originates from a previously undetected and unpermitted leak in a pipeline.</w:t>
      </w:r>
    </w:p>
    <w:p w:rsidR="00307FA4" w:rsidRPr="006C741C" w:rsidRDefault="00307FA4" w:rsidP="00307FA4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p w:rsidR="006C741C" w:rsidRPr="006C741C" w:rsidRDefault="00307FA4" w:rsidP="00307FA4">
      <w:pPr>
        <w:spacing w:line="240" w:lineRule="exact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this example, the unauthorized discharge does </w:t>
      </w:r>
      <w:r w:rsidRPr="00307FA4">
        <w:rPr>
          <w:rFonts w:asciiTheme="minorHAnsi" w:hAnsiTheme="minorHAnsi"/>
          <w:i/>
          <w:sz w:val="22"/>
          <w:szCs w:val="22"/>
        </w:rPr>
        <w:t>not</w:t>
      </w:r>
      <w:r>
        <w:rPr>
          <w:rFonts w:asciiTheme="minorHAnsi" w:hAnsiTheme="minorHAnsi"/>
          <w:sz w:val="22"/>
          <w:szCs w:val="22"/>
        </w:rPr>
        <w:t xml:space="preserve"> have to be reported per LAC 33:I.3917.A because excess emissions of </w:t>
      </w:r>
      <w:r w:rsidRPr="00307FA4">
        <w:rPr>
          <w:rFonts w:asciiTheme="minorHAnsi" w:hAnsiTheme="minorHAnsi"/>
          <w:i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are less than 1000 pounds </w:t>
      </w:r>
      <w:r w:rsidRPr="00307FA4">
        <w:rPr>
          <w:rFonts w:asciiTheme="minorHAnsi" w:hAnsiTheme="minorHAnsi"/>
          <w:sz w:val="22"/>
          <w:szCs w:val="22"/>
        </w:rPr>
        <w:t xml:space="preserve">(i.e., </w:t>
      </w:r>
      <w:r>
        <w:rPr>
          <w:rFonts w:asciiTheme="minorHAnsi" w:hAnsiTheme="minorHAnsi"/>
          <w:sz w:val="22"/>
          <w:szCs w:val="22"/>
        </w:rPr>
        <w:t>the RQ “floor” of zero</w:t>
      </w:r>
      <w:r w:rsidRPr="00307FA4">
        <w:rPr>
          <w:rFonts w:asciiTheme="minorHAnsi" w:hAnsiTheme="minorHAnsi"/>
          <w:sz w:val="22"/>
          <w:szCs w:val="22"/>
        </w:rPr>
        <w:t xml:space="preserve"> plus the RQ).</w:t>
      </w:r>
    </w:p>
    <w:p w:rsidR="006C741C" w:rsidRPr="006C741C" w:rsidRDefault="006C741C" w:rsidP="00307FA4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sectPr w:rsidR="006C741C" w:rsidRPr="006C741C" w:rsidSect="00A870F0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4BA" w:rsidRDefault="00AD44BA" w:rsidP="004F1A06">
      <w:r>
        <w:separator/>
      </w:r>
    </w:p>
  </w:endnote>
  <w:endnote w:type="continuationSeparator" w:id="0">
    <w:p w:rsidR="00AD44BA" w:rsidRDefault="00AD44BA" w:rsidP="004F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4BA" w:rsidRDefault="00AD44BA" w:rsidP="004F1A06">
      <w:r>
        <w:separator/>
      </w:r>
    </w:p>
  </w:footnote>
  <w:footnote w:type="continuationSeparator" w:id="0">
    <w:p w:rsidR="00AD44BA" w:rsidRDefault="00AD44BA" w:rsidP="004F1A06">
      <w:r>
        <w:continuationSeparator/>
      </w:r>
    </w:p>
  </w:footnote>
  <w:footnote w:id="1">
    <w:p w:rsidR="00A66D7A" w:rsidRPr="00EF56B6" w:rsidRDefault="00A66D7A" w:rsidP="00EF56B6">
      <w:pPr>
        <w:pStyle w:val="FootnoteText"/>
        <w:tabs>
          <w:tab w:val="left" w:pos="180"/>
        </w:tabs>
        <w:spacing w:line="240" w:lineRule="exact"/>
        <w:ind w:left="180" w:hanging="180"/>
        <w:rPr>
          <w:rFonts w:asciiTheme="minorHAnsi" w:hAnsiTheme="minorHAnsi"/>
        </w:rPr>
      </w:pPr>
      <w:r w:rsidRPr="00EF56B6">
        <w:rPr>
          <w:rStyle w:val="FootnoteReference"/>
          <w:rFonts w:asciiTheme="minorHAnsi" w:hAnsiTheme="minorHAnsi"/>
        </w:rPr>
        <w:footnoteRef/>
      </w:r>
      <w:r w:rsidRPr="00EF56B6">
        <w:rPr>
          <w:rFonts w:asciiTheme="minorHAnsi" w:hAnsiTheme="minorHAnsi"/>
        </w:rPr>
        <w:t xml:space="preserve"> </w:t>
      </w:r>
      <w:r w:rsidRPr="00EF56B6">
        <w:rPr>
          <w:rFonts w:asciiTheme="minorHAnsi" w:hAnsiTheme="minorHAnsi"/>
        </w:rPr>
        <w:tab/>
        <w:t xml:space="preserve">Note that LAC 33:I.Chapter 39 also applies to unauthorized discharges to </w:t>
      </w:r>
      <w:r w:rsidR="000E2EE5" w:rsidRPr="00EF56B6">
        <w:rPr>
          <w:rFonts w:asciiTheme="minorHAnsi" w:hAnsiTheme="minorHAnsi"/>
        </w:rPr>
        <w:t>water and land (LAC 33:I.3907).</w:t>
      </w:r>
    </w:p>
  </w:footnote>
  <w:footnote w:id="2">
    <w:p w:rsidR="001233D4" w:rsidRPr="00EF56B6" w:rsidRDefault="001233D4" w:rsidP="00EF56B6">
      <w:pPr>
        <w:pStyle w:val="FootnoteText"/>
        <w:tabs>
          <w:tab w:val="left" w:pos="180"/>
        </w:tabs>
        <w:spacing w:line="240" w:lineRule="exact"/>
        <w:rPr>
          <w:rFonts w:asciiTheme="minorHAnsi" w:hAnsiTheme="minorHAnsi"/>
        </w:rPr>
      </w:pPr>
      <w:r w:rsidRPr="00EF56B6">
        <w:rPr>
          <w:rStyle w:val="FootnoteReference"/>
          <w:rFonts w:asciiTheme="minorHAnsi" w:hAnsiTheme="minorHAnsi"/>
        </w:rPr>
        <w:footnoteRef/>
      </w:r>
      <w:r w:rsidRPr="00EF56B6">
        <w:rPr>
          <w:rFonts w:asciiTheme="minorHAnsi" w:hAnsiTheme="minorHAnsi"/>
        </w:rPr>
        <w:t xml:space="preserve"> </w:t>
      </w:r>
      <w:r w:rsidRPr="00EF56B6">
        <w:rPr>
          <w:rFonts w:asciiTheme="minorHAnsi" w:hAnsiTheme="minorHAnsi"/>
        </w:rPr>
        <w:tab/>
        <w:t>LAC 33:I.3915.A.1</w:t>
      </w:r>
    </w:p>
  </w:footnote>
  <w:footnote w:id="3">
    <w:p w:rsidR="001233D4" w:rsidRPr="00EF56B6" w:rsidRDefault="001233D4" w:rsidP="00EF56B6">
      <w:pPr>
        <w:pStyle w:val="FootnoteText"/>
        <w:tabs>
          <w:tab w:val="left" w:pos="180"/>
        </w:tabs>
        <w:spacing w:line="240" w:lineRule="exact"/>
        <w:rPr>
          <w:rFonts w:asciiTheme="minorHAnsi" w:hAnsiTheme="minorHAnsi"/>
        </w:rPr>
      </w:pPr>
      <w:r w:rsidRPr="00EF56B6">
        <w:rPr>
          <w:rStyle w:val="FootnoteReference"/>
          <w:rFonts w:asciiTheme="minorHAnsi" w:hAnsiTheme="minorHAnsi"/>
        </w:rPr>
        <w:footnoteRef/>
      </w:r>
      <w:r w:rsidRPr="00EF56B6">
        <w:rPr>
          <w:rFonts w:asciiTheme="minorHAnsi" w:hAnsiTheme="minorHAnsi"/>
        </w:rPr>
        <w:t xml:space="preserve"> </w:t>
      </w:r>
      <w:r w:rsidRPr="00EF56B6">
        <w:rPr>
          <w:rFonts w:asciiTheme="minorHAnsi" w:hAnsiTheme="minorHAnsi"/>
        </w:rPr>
        <w:tab/>
        <w:t>LAC 33:I.3917.A</w:t>
      </w:r>
    </w:p>
  </w:footnote>
  <w:footnote w:id="4">
    <w:p w:rsidR="00853331" w:rsidRPr="00EF56B6" w:rsidRDefault="00853331" w:rsidP="00EF56B6">
      <w:pPr>
        <w:pStyle w:val="FootnoteText"/>
        <w:spacing w:line="240" w:lineRule="exact"/>
        <w:ind w:left="180" w:hanging="180"/>
        <w:rPr>
          <w:rFonts w:asciiTheme="minorHAnsi" w:hAnsiTheme="minorHAnsi"/>
        </w:rPr>
      </w:pPr>
      <w:r w:rsidRPr="00EF56B6">
        <w:rPr>
          <w:rStyle w:val="FootnoteReference"/>
          <w:rFonts w:asciiTheme="minorHAnsi" w:hAnsiTheme="minorHAnsi"/>
        </w:rPr>
        <w:footnoteRef/>
      </w:r>
      <w:r w:rsidRPr="00EF56B6">
        <w:rPr>
          <w:rFonts w:asciiTheme="minorHAnsi" w:hAnsiTheme="minorHAnsi"/>
        </w:rPr>
        <w:t xml:space="preserve"> </w:t>
      </w:r>
      <w:r w:rsidRPr="00EF56B6">
        <w:rPr>
          <w:rFonts w:asciiTheme="minorHAnsi" w:hAnsiTheme="minorHAnsi"/>
        </w:rPr>
        <w:tab/>
        <w:t>This document primarily focuses on LAC 33:I.Chapter 39.  However, other reporting requirements may apply, including, but not limited to, LAC 33:III.919 (Emissions Inventory), Part 70 General Condition R (of LAC 33:III.535.A), Louisiana General Condition XI (of LAC 33:III.537.A), and LAC 33:III.5107.B.</w:t>
      </w:r>
    </w:p>
  </w:footnote>
  <w:footnote w:id="5">
    <w:p w:rsidR="008F116E" w:rsidRPr="00EF56B6" w:rsidRDefault="008F116E" w:rsidP="00EF56B6">
      <w:pPr>
        <w:pStyle w:val="FootnoteText"/>
        <w:tabs>
          <w:tab w:val="left" w:pos="180"/>
        </w:tabs>
        <w:spacing w:line="240" w:lineRule="exact"/>
        <w:rPr>
          <w:rFonts w:asciiTheme="minorHAnsi" w:hAnsiTheme="minorHAnsi"/>
        </w:rPr>
      </w:pPr>
      <w:r w:rsidRPr="00EF56B6">
        <w:rPr>
          <w:rStyle w:val="FootnoteReference"/>
          <w:rFonts w:asciiTheme="minorHAnsi" w:hAnsiTheme="minorHAnsi"/>
        </w:rPr>
        <w:footnoteRef/>
      </w:r>
      <w:r w:rsidRPr="00EF56B6">
        <w:rPr>
          <w:rFonts w:asciiTheme="minorHAnsi" w:hAnsiTheme="minorHAnsi"/>
        </w:rPr>
        <w:t xml:space="preserve"> </w:t>
      </w:r>
      <w:r w:rsidRPr="00EF56B6">
        <w:rPr>
          <w:rFonts w:asciiTheme="minorHAnsi" w:hAnsiTheme="minorHAnsi"/>
        </w:rPr>
        <w:tab/>
        <w:t>LAC 33:I.3927.B</w:t>
      </w:r>
    </w:p>
  </w:footnote>
  <w:footnote w:id="6">
    <w:p w:rsidR="00EF56B6" w:rsidRPr="00EF56B6" w:rsidRDefault="00EF56B6" w:rsidP="00EF56B6">
      <w:pPr>
        <w:pStyle w:val="FootnoteText"/>
        <w:tabs>
          <w:tab w:val="left" w:pos="180"/>
        </w:tabs>
        <w:spacing w:line="240" w:lineRule="exact"/>
        <w:ind w:left="180" w:hanging="180"/>
        <w:rPr>
          <w:rFonts w:asciiTheme="minorHAnsi" w:hAnsiTheme="minorHAnsi"/>
        </w:rPr>
      </w:pPr>
      <w:r w:rsidRPr="00EF56B6">
        <w:rPr>
          <w:rStyle w:val="FootnoteReference"/>
          <w:rFonts w:asciiTheme="minorHAnsi" w:hAnsiTheme="minorHAnsi"/>
        </w:rPr>
        <w:footnoteRef/>
      </w:r>
      <w:r w:rsidRPr="00EF56B6">
        <w:rPr>
          <w:rFonts w:asciiTheme="minorHAnsi" w:hAnsiTheme="minorHAnsi"/>
        </w:rPr>
        <w:t xml:space="preserve"> </w:t>
      </w:r>
      <w:r w:rsidRPr="00EF56B6">
        <w:rPr>
          <w:rFonts w:asciiTheme="minorHAnsi" w:hAnsiTheme="minorHAnsi"/>
        </w:rPr>
        <w:tab/>
        <w:t xml:space="preserve">Unauthorized discharges may include </w:t>
      </w:r>
      <w:r>
        <w:rPr>
          <w:rFonts w:asciiTheme="minorHAnsi" w:hAnsiTheme="minorHAnsi"/>
        </w:rPr>
        <w:t>“</w:t>
      </w:r>
      <w:r w:rsidRPr="00EF56B6">
        <w:rPr>
          <w:rFonts w:asciiTheme="minorHAnsi" w:hAnsiTheme="minorHAnsi"/>
        </w:rPr>
        <w:t>malfunctions</w:t>
      </w:r>
      <w:r>
        <w:rPr>
          <w:rFonts w:asciiTheme="minorHAnsi" w:hAnsiTheme="minorHAnsi"/>
        </w:rPr>
        <w:t>”</w:t>
      </w:r>
      <w:r w:rsidRPr="00EF56B6">
        <w:rPr>
          <w:rFonts w:asciiTheme="minorHAnsi" w:hAnsiTheme="minorHAnsi"/>
        </w:rPr>
        <w:t xml:space="preserve"> as </w:t>
      </w:r>
      <w:r>
        <w:rPr>
          <w:rFonts w:asciiTheme="minorHAnsi" w:hAnsiTheme="minorHAnsi"/>
        </w:rPr>
        <w:t>defined in LAC 33:III.111 and “upsets” as defined in LAC 33:III.507.J.1.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5B9"/>
    <w:multiLevelType w:val="hybridMultilevel"/>
    <w:tmpl w:val="A08A4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75C13"/>
    <w:multiLevelType w:val="hybridMultilevel"/>
    <w:tmpl w:val="02F03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83378"/>
    <w:multiLevelType w:val="hybridMultilevel"/>
    <w:tmpl w:val="D34CB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D28F4"/>
    <w:multiLevelType w:val="hybridMultilevel"/>
    <w:tmpl w:val="C2143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101CC"/>
    <w:multiLevelType w:val="hybridMultilevel"/>
    <w:tmpl w:val="1D5474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16FB9"/>
    <w:multiLevelType w:val="hybridMultilevel"/>
    <w:tmpl w:val="590C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F3565"/>
    <w:multiLevelType w:val="hybridMultilevel"/>
    <w:tmpl w:val="610A3D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287A19"/>
    <w:multiLevelType w:val="hybridMultilevel"/>
    <w:tmpl w:val="41F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D1"/>
    <w:rsid w:val="0006411B"/>
    <w:rsid w:val="000653D1"/>
    <w:rsid w:val="00074E83"/>
    <w:rsid w:val="000E2EE5"/>
    <w:rsid w:val="001233D4"/>
    <w:rsid w:val="001B5F88"/>
    <w:rsid w:val="00213B35"/>
    <w:rsid w:val="002236AF"/>
    <w:rsid w:val="002A6C7D"/>
    <w:rsid w:val="00307FA4"/>
    <w:rsid w:val="00383B37"/>
    <w:rsid w:val="003C6698"/>
    <w:rsid w:val="00413514"/>
    <w:rsid w:val="0047047B"/>
    <w:rsid w:val="004C126E"/>
    <w:rsid w:val="004F1A06"/>
    <w:rsid w:val="00514DAA"/>
    <w:rsid w:val="005542DE"/>
    <w:rsid w:val="00602509"/>
    <w:rsid w:val="00610B56"/>
    <w:rsid w:val="006A31E0"/>
    <w:rsid w:val="006C741C"/>
    <w:rsid w:val="0071578E"/>
    <w:rsid w:val="007463DB"/>
    <w:rsid w:val="00794E21"/>
    <w:rsid w:val="007B7568"/>
    <w:rsid w:val="0080252B"/>
    <w:rsid w:val="00830C04"/>
    <w:rsid w:val="00847CDF"/>
    <w:rsid w:val="00853331"/>
    <w:rsid w:val="00881431"/>
    <w:rsid w:val="008E4D1D"/>
    <w:rsid w:val="008F116E"/>
    <w:rsid w:val="009406F7"/>
    <w:rsid w:val="00A66D7A"/>
    <w:rsid w:val="00A863F7"/>
    <w:rsid w:val="00A870F0"/>
    <w:rsid w:val="00AD44BA"/>
    <w:rsid w:val="00AE251C"/>
    <w:rsid w:val="00AF32F9"/>
    <w:rsid w:val="00BE315B"/>
    <w:rsid w:val="00C54B00"/>
    <w:rsid w:val="00C83CEE"/>
    <w:rsid w:val="00CD3E4C"/>
    <w:rsid w:val="00D370BE"/>
    <w:rsid w:val="00E03448"/>
    <w:rsid w:val="00EF1BBB"/>
    <w:rsid w:val="00EF4D83"/>
    <w:rsid w:val="00EF56B6"/>
    <w:rsid w:val="00F00B3F"/>
    <w:rsid w:val="00F5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5F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3D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81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14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F1A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A06"/>
    <w:rPr>
      <w:sz w:val="24"/>
      <w:szCs w:val="24"/>
    </w:rPr>
  </w:style>
  <w:style w:type="paragraph" w:styleId="Footer">
    <w:name w:val="footer"/>
    <w:basedOn w:val="Normal"/>
    <w:link w:val="FooterChar"/>
    <w:rsid w:val="004F1A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1A06"/>
    <w:rPr>
      <w:sz w:val="24"/>
      <w:szCs w:val="24"/>
    </w:rPr>
  </w:style>
  <w:style w:type="paragraph" w:styleId="FootnoteText">
    <w:name w:val="footnote text"/>
    <w:basedOn w:val="Normal"/>
    <w:link w:val="FootnoteTextChar"/>
    <w:rsid w:val="001233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33D4"/>
  </w:style>
  <w:style w:type="character" w:styleId="FootnoteReference">
    <w:name w:val="footnote reference"/>
    <w:basedOn w:val="DefaultParagraphFont"/>
    <w:rsid w:val="001233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5F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3D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81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14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F1A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A06"/>
    <w:rPr>
      <w:sz w:val="24"/>
      <w:szCs w:val="24"/>
    </w:rPr>
  </w:style>
  <w:style w:type="paragraph" w:styleId="Footer">
    <w:name w:val="footer"/>
    <w:basedOn w:val="Normal"/>
    <w:link w:val="FooterChar"/>
    <w:rsid w:val="004F1A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1A06"/>
    <w:rPr>
      <w:sz w:val="24"/>
      <w:szCs w:val="24"/>
    </w:rPr>
  </w:style>
  <w:style w:type="paragraph" w:styleId="FootnoteText">
    <w:name w:val="footnote text"/>
    <w:basedOn w:val="Normal"/>
    <w:link w:val="FootnoteTextChar"/>
    <w:rsid w:val="001233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33D4"/>
  </w:style>
  <w:style w:type="character" w:styleId="FootnoteReference">
    <w:name w:val="footnote reference"/>
    <w:basedOn w:val="DefaultParagraphFont"/>
    <w:rsid w:val="001233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9E52F-AA85-4211-9EB2-9C219B88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748</Words>
  <Characters>4033</Characters>
  <Application>Microsoft Office Word</Application>
  <DocSecurity>0</DocSecurity>
  <Lines>87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Environmental Quality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20</cp:revision>
  <cp:lastPrinted>2014-02-27T16:53:00Z</cp:lastPrinted>
  <dcterms:created xsi:type="dcterms:W3CDTF">2014-06-27T14:20:00Z</dcterms:created>
  <dcterms:modified xsi:type="dcterms:W3CDTF">2015-12-09T13:58:00Z</dcterms:modified>
</cp:coreProperties>
</file>