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5A" w:rsidRPr="00C8475A" w:rsidRDefault="00C8475A" w:rsidP="00365E2F">
      <w:pPr>
        <w:spacing w:after="0" w:line="260" w:lineRule="exact"/>
        <w:rPr>
          <w:rFonts w:cs="Arial"/>
          <w:b/>
          <w:sz w:val="24"/>
          <w:szCs w:val="24"/>
        </w:rPr>
      </w:pPr>
      <w:r w:rsidRPr="00C8475A">
        <w:rPr>
          <w:rFonts w:cs="Arial"/>
          <w:b/>
          <w:sz w:val="24"/>
          <w:szCs w:val="24"/>
        </w:rPr>
        <w:t>Part 70 Sources: Speciation of PM</w:t>
      </w:r>
      <w:r w:rsidRPr="00C8475A">
        <w:rPr>
          <w:rFonts w:cs="Arial"/>
          <w:b/>
          <w:sz w:val="24"/>
          <w:szCs w:val="24"/>
          <w:vertAlign w:val="subscript"/>
        </w:rPr>
        <w:t>2.5</w:t>
      </w:r>
      <w:r w:rsidRPr="00C8475A">
        <w:rPr>
          <w:rFonts w:cs="Arial"/>
          <w:b/>
          <w:sz w:val="24"/>
          <w:szCs w:val="24"/>
        </w:rPr>
        <w:t xml:space="preserve"> Emissions </w:t>
      </w:r>
    </w:p>
    <w:p w:rsidR="00C8475A" w:rsidRPr="00C8475A" w:rsidRDefault="00C8475A" w:rsidP="00365E2F">
      <w:pPr>
        <w:spacing w:after="0" w:line="260" w:lineRule="exact"/>
        <w:rPr>
          <w:rFonts w:cs="Arial"/>
          <w:b/>
          <w:sz w:val="24"/>
          <w:szCs w:val="24"/>
        </w:rPr>
      </w:pPr>
    </w:p>
    <w:p w:rsidR="00C8475A" w:rsidRPr="00C8475A" w:rsidRDefault="00C8475A" w:rsidP="00365E2F">
      <w:pPr>
        <w:spacing w:after="0" w:line="260" w:lineRule="exact"/>
        <w:ind w:right="360"/>
        <w:rPr>
          <w:rFonts w:eastAsia="Times New Roman" w:cs="Arial"/>
          <w:sz w:val="24"/>
          <w:szCs w:val="24"/>
        </w:rPr>
      </w:pPr>
      <w:r w:rsidRPr="00C8475A">
        <w:rPr>
          <w:rFonts w:eastAsia="Times New Roman" w:cs="Arial"/>
          <w:sz w:val="24"/>
          <w:szCs w:val="24"/>
        </w:rPr>
        <w:t xml:space="preserve">Applications for Title V renewals and significant modifications submitted on or after </w:t>
      </w:r>
      <w:r w:rsidRPr="00C8475A">
        <w:rPr>
          <w:rFonts w:eastAsia="Times New Roman" w:cs="Arial"/>
          <w:b/>
          <w:sz w:val="24"/>
          <w:szCs w:val="24"/>
        </w:rPr>
        <w:t>March 1, 2011</w:t>
      </w:r>
      <w:r w:rsidRPr="00C8475A">
        <w:rPr>
          <w:rFonts w:eastAsia="Times New Roman" w:cs="Arial"/>
          <w:sz w:val="24"/>
          <w:szCs w:val="24"/>
        </w:rPr>
        <w:t>, should address PM</w:t>
      </w:r>
      <w:r w:rsidRPr="00C8475A">
        <w:rPr>
          <w:rFonts w:eastAsia="Times New Roman" w:cs="Arial"/>
          <w:sz w:val="24"/>
          <w:szCs w:val="24"/>
          <w:vertAlign w:val="subscript"/>
        </w:rPr>
        <w:t>2.5</w:t>
      </w:r>
      <w:r w:rsidRPr="00C8475A">
        <w:rPr>
          <w:rFonts w:eastAsia="Times New Roman" w:cs="Arial"/>
          <w:sz w:val="24"/>
          <w:szCs w:val="24"/>
        </w:rPr>
        <w:t xml:space="preserve"> for all sources.  Regarding minor modifications</w:t>
      </w:r>
      <w:r w:rsidR="00BE28D3">
        <w:rPr>
          <w:rFonts w:eastAsia="Times New Roman" w:cs="Arial"/>
          <w:sz w:val="24"/>
          <w:szCs w:val="24"/>
        </w:rPr>
        <w:t xml:space="preserve"> (at major stationary sources as defined in LAC 33:III.509.B)</w:t>
      </w:r>
      <w:r w:rsidRPr="00C8475A">
        <w:rPr>
          <w:rFonts w:eastAsia="Times New Roman" w:cs="Arial"/>
          <w:sz w:val="24"/>
          <w:szCs w:val="24"/>
        </w:rPr>
        <w:t>, applicants proposing physical changes or changes in the method of operation should address PM</w:t>
      </w:r>
      <w:r w:rsidRPr="00C8475A">
        <w:rPr>
          <w:rFonts w:eastAsia="Times New Roman" w:cs="Arial"/>
          <w:sz w:val="24"/>
          <w:szCs w:val="24"/>
          <w:vertAlign w:val="subscript"/>
        </w:rPr>
        <w:t>2.5</w:t>
      </w:r>
      <w:r w:rsidRPr="00C8475A">
        <w:rPr>
          <w:rFonts w:eastAsia="Times New Roman" w:cs="Arial"/>
          <w:sz w:val="24"/>
          <w:szCs w:val="24"/>
        </w:rPr>
        <w:t xml:space="preserve"> emissions for the </w:t>
      </w:r>
      <w:r w:rsidR="00B27851">
        <w:rPr>
          <w:rFonts w:eastAsia="Times New Roman" w:cs="Arial"/>
          <w:sz w:val="24"/>
          <w:szCs w:val="24"/>
        </w:rPr>
        <w:t>project-</w:t>
      </w:r>
      <w:r w:rsidRPr="00C8475A">
        <w:rPr>
          <w:rFonts w:eastAsia="Times New Roman" w:cs="Arial"/>
          <w:sz w:val="24"/>
          <w:szCs w:val="24"/>
        </w:rPr>
        <w:t>affected sources to show that the project increase (or net emissions increase, i</w:t>
      </w:r>
      <w:r>
        <w:rPr>
          <w:rFonts w:eastAsia="Times New Roman" w:cs="Arial"/>
          <w:sz w:val="24"/>
          <w:szCs w:val="24"/>
        </w:rPr>
        <w:t>f necessary) is below 10 TPY.</w:t>
      </w:r>
    </w:p>
    <w:p w:rsidR="00C8475A" w:rsidRPr="00C8475A" w:rsidRDefault="00C8475A" w:rsidP="00365E2F">
      <w:pPr>
        <w:spacing w:after="0" w:line="260" w:lineRule="exact"/>
        <w:rPr>
          <w:rFonts w:cs="Arial"/>
          <w:b/>
          <w:sz w:val="24"/>
          <w:szCs w:val="24"/>
        </w:rPr>
      </w:pPr>
    </w:p>
    <w:p w:rsidR="00C8475A" w:rsidRPr="00C8475A" w:rsidRDefault="00C8475A" w:rsidP="00365E2F">
      <w:pPr>
        <w:spacing w:after="0" w:line="260" w:lineRule="exact"/>
        <w:rPr>
          <w:rFonts w:cs="Arial"/>
          <w:b/>
          <w:sz w:val="24"/>
          <w:szCs w:val="24"/>
        </w:rPr>
      </w:pPr>
      <w:r w:rsidRPr="00C8475A">
        <w:rPr>
          <w:rFonts w:cs="Arial"/>
          <w:b/>
          <w:sz w:val="24"/>
          <w:szCs w:val="24"/>
        </w:rPr>
        <w:t>Minor Sources: Speciation of PM</w:t>
      </w:r>
      <w:r w:rsidRPr="00C8475A">
        <w:rPr>
          <w:rFonts w:cs="Arial"/>
          <w:b/>
          <w:sz w:val="24"/>
          <w:szCs w:val="24"/>
          <w:vertAlign w:val="subscript"/>
        </w:rPr>
        <w:t>2.5</w:t>
      </w:r>
      <w:r w:rsidRPr="00C8475A">
        <w:rPr>
          <w:rFonts w:cs="Arial"/>
          <w:b/>
          <w:sz w:val="24"/>
          <w:szCs w:val="24"/>
        </w:rPr>
        <w:t xml:space="preserve"> Emissions </w:t>
      </w:r>
    </w:p>
    <w:p w:rsidR="00BD41B8" w:rsidRPr="00C8475A" w:rsidRDefault="00BD41B8" w:rsidP="00365E2F">
      <w:pPr>
        <w:spacing w:after="0" w:line="260" w:lineRule="exact"/>
        <w:rPr>
          <w:rFonts w:cs="Arial"/>
          <w:sz w:val="24"/>
          <w:szCs w:val="24"/>
        </w:rPr>
      </w:pPr>
    </w:p>
    <w:p w:rsidR="00BD41B8" w:rsidRPr="00C8475A" w:rsidRDefault="00BD41B8" w:rsidP="00365E2F">
      <w:pPr>
        <w:spacing w:after="0" w:line="260" w:lineRule="exact"/>
        <w:rPr>
          <w:rFonts w:cs="Arial"/>
          <w:sz w:val="24"/>
          <w:szCs w:val="24"/>
        </w:rPr>
      </w:pPr>
      <w:r w:rsidRPr="00C8475A">
        <w:rPr>
          <w:rFonts w:cs="Arial"/>
          <w:sz w:val="24"/>
          <w:szCs w:val="24"/>
        </w:rPr>
        <w:t xml:space="preserve">Applications for minor source permits submitted on or after </w:t>
      </w:r>
      <w:r w:rsidRPr="00C8475A">
        <w:rPr>
          <w:rFonts w:cs="Arial"/>
          <w:b/>
          <w:sz w:val="24"/>
          <w:szCs w:val="24"/>
        </w:rPr>
        <w:t>March 1, 201</w:t>
      </w:r>
      <w:r w:rsidR="00C8475A" w:rsidRPr="00C8475A">
        <w:rPr>
          <w:rFonts w:cs="Arial"/>
          <w:b/>
          <w:sz w:val="24"/>
          <w:szCs w:val="24"/>
        </w:rPr>
        <w:t>2</w:t>
      </w:r>
      <w:r w:rsidRPr="00C8475A">
        <w:rPr>
          <w:rFonts w:cs="Arial"/>
          <w:sz w:val="24"/>
          <w:szCs w:val="24"/>
        </w:rPr>
        <w:t>, should address PM</w:t>
      </w:r>
      <w:r w:rsidRPr="00C8475A">
        <w:rPr>
          <w:rFonts w:cs="Arial"/>
          <w:sz w:val="24"/>
          <w:szCs w:val="24"/>
          <w:vertAlign w:val="subscript"/>
        </w:rPr>
        <w:t>2.5</w:t>
      </w:r>
      <w:r w:rsidRPr="00C8475A">
        <w:rPr>
          <w:rFonts w:cs="Arial"/>
          <w:sz w:val="24"/>
          <w:szCs w:val="24"/>
        </w:rPr>
        <w:t xml:space="preserve"> for all sources.  </w:t>
      </w:r>
    </w:p>
    <w:p w:rsidR="00BD41B8" w:rsidRPr="00C8475A" w:rsidRDefault="00BD41B8" w:rsidP="00365E2F">
      <w:pPr>
        <w:spacing w:after="0" w:line="260" w:lineRule="exact"/>
        <w:rPr>
          <w:rFonts w:cs="Arial"/>
          <w:sz w:val="24"/>
          <w:szCs w:val="24"/>
        </w:rPr>
      </w:pPr>
    </w:p>
    <w:p w:rsidR="00F27DBA" w:rsidRPr="00C8475A" w:rsidRDefault="00F27DBA" w:rsidP="00365E2F">
      <w:pPr>
        <w:spacing w:after="0" w:line="260" w:lineRule="exact"/>
        <w:rPr>
          <w:rFonts w:cs="Arial"/>
          <w:b/>
          <w:sz w:val="24"/>
          <w:szCs w:val="24"/>
        </w:rPr>
      </w:pPr>
      <w:r w:rsidRPr="00C8475A">
        <w:rPr>
          <w:rFonts w:cs="Arial"/>
          <w:b/>
          <w:sz w:val="24"/>
          <w:szCs w:val="24"/>
        </w:rPr>
        <w:t>Condensable Particulate Matter</w:t>
      </w:r>
    </w:p>
    <w:p w:rsidR="00B27851" w:rsidRDefault="00B27851" w:rsidP="00365E2F">
      <w:pPr>
        <w:spacing w:after="0" w:line="260" w:lineRule="exact"/>
        <w:rPr>
          <w:rFonts w:eastAsia="Times New Roman" w:cs="Arial"/>
          <w:sz w:val="24"/>
          <w:szCs w:val="24"/>
        </w:rPr>
      </w:pPr>
    </w:p>
    <w:p w:rsidR="00F27DBA" w:rsidRPr="00B27851" w:rsidRDefault="00B27851" w:rsidP="00365E2F">
      <w:pPr>
        <w:spacing w:after="0" w:line="260" w:lineRule="exact"/>
        <w:rPr>
          <w:rFonts w:cs="Arial"/>
          <w:sz w:val="24"/>
          <w:szCs w:val="24"/>
          <w:u w:val="single"/>
        </w:rPr>
      </w:pPr>
      <w:r w:rsidRPr="00B27851">
        <w:rPr>
          <w:rFonts w:eastAsia="Times New Roman" w:cs="Arial"/>
          <w:sz w:val="24"/>
          <w:szCs w:val="24"/>
          <w:u w:val="single"/>
        </w:rPr>
        <w:t>Major Stationary Sources as Defined in LAC 33:III.509.B</w:t>
      </w:r>
    </w:p>
    <w:p w:rsidR="00B27851" w:rsidRDefault="00B27851" w:rsidP="00365E2F">
      <w:pPr>
        <w:spacing w:after="0" w:line="260" w:lineRule="exact"/>
        <w:rPr>
          <w:rFonts w:cs="Arial"/>
          <w:sz w:val="24"/>
          <w:szCs w:val="24"/>
        </w:rPr>
      </w:pPr>
    </w:p>
    <w:p w:rsidR="00B27851" w:rsidRDefault="00B27851" w:rsidP="00365E2F">
      <w:pPr>
        <w:spacing w:after="0" w:line="260" w:lineRule="exact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</w:t>
      </w:r>
      <w:r w:rsidRPr="00C8475A">
        <w:rPr>
          <w:rFonts w:eastAsia="Times New Roman" w:cs="Arial"/>
          <w:sz w:val="24"/>
          <w:szCs w:val="24"/>
        </w:rPr>
        <w:t xml:space="preserve">pplicants proposing physical changes or changes in the method of operation should address </w:t>
      </w:r>
      <w:r>
        <w:rPr>
          <w:rFonts w:eastAsia="Times New Roman" w:cs="Arial"/>
          <w:sz w:val="24"/>
          <w:szCs w:val="24"/>
        </w:rPr>
        <w:t>condensable PM</w:t>
      </w:r>
      <w:r w:rsidRPr="00B27851">
        <w:rPr>
          <w:rFonts w:eastAsia="Times New Roman" w:cs="Arial"/>
          <w:sz w:val="24"/>
          <w:szCs w:val="24"/>
          <w:vertAlign w:val="subscript"/>
        </w:rPr>
        <w:t>10</w:t>
      </w:r>
      <w:r>
        <w:rPr>
          <w:rFonts w:eastAsia="Times New Roman" w:cs="Arial"/>
          <w:sz w:val="24"/>
          <w:szCs w:val="24"/>
        </w:rPr>
        <w:t xml:space="preserve"> and </w:t>
      </w:r>
      <w:r w:rsidRPr="00C8475A">
        <w:rPr>
          <w:rFonts w:eastAsia="Times New Roman" w:cs="Arial"/>
          <w:sz w:val="24"/>
          <w:szCs w:val="24"/>
        </w:rPr>
        <w:t>PM</w:t>
      </w:r>
      <w:r w:rsidRPr="00C8475A">
        <w:rPr>
          <w:rFonts w:eastAsia="Times New Roman" w:cs="Arial"/>
          <w:sz w:val="24"/>
          <w:szCs w:val="24"/>
          <w:vertAlign w:val="subscript"/>
        </w:rPr>
        <w:t>2.5</w:t>
      </w:r>
      <w:r w:rsidRPr="00C8475A">
        <w:rPr>
          <w:rFonts w:eastAsia="Times New Roman" w:cs="Arial"/>
          <w:sz w:val="24"/>
          <w:szCs w:val="24"/>
        </w:rPr>
        <w:t xml:space="preserve"> emissions </w:t>
      </w:r>
      <w:r w:rsidR="00D014C6" w:rsidRPr="00C8475A">
        <w:rPr>
          <w:rFonts w:cs="Arial"/>
          <w:sz w:val="24"/>
          <w:szCs w:val="24"/>
        </w:rPr>
        <w:t xml:space="preserve">(i.e., </w:t>
      </w:r>
      <w:r w:rsidR="00D014C6" w:rsidRPr="00C8475A">
        <w:rPr>
          <w:rFonts w:eastAsia="Calibri" w:cs="Arial"/>
          <w:sz w:val="24"/>
          <w:szCs w:val="24"/>
        </w:rPr>
        <w:t>gaseous emissions from a source or activity which condense to form particulate matter at ambient temperatures)</w:t>
      </w:r>
      <w:r w:rsidR="00D014C6">
        <w:rPr>
          <w:rFonts w:eastAsia="Calibri" w:cs="Arial"/>
          <w:sz w:val="24"/>
          <w:szCs w:val="24"/>
        </w:rPr>
        <w:t xml:space="preserve"> </w:t>
      </w:r>
      <w:r w:rsidRPr="00C8475A">
        <w:rPr>
          <w:rFonts w:eastAsia="Times New Roman" w:cs="Arial"/>
          <w:sz w:val="24"/>
          <w:szCs w:val="24"/>
        </w:rPr>
        <w:t xml:space="preserve">for the </w:t>
      </w:r>
      <w:r>
        <w:rPr>
          <w:rFonts w:eastAsia="Times New Roman" w:cs="Arial"/>
          <w:sz w:val="24"/>
          <w:szCs w:val="24"/>
        </w:rPr>
        <w:t>project-</w:t>
      </w:r>
      <w:r w:rsidRPr="00C8475A">
        <w:rPr>
          <w:rFonts w:eastAsia="Times New Roman" w:cs="Arial"/>
          <w:sz w:val="24"/>
          <w:szCs w:val="24"/>
        </w:rPr>
        <w:t>affected sources</w:t>
      </w:r>
      <w:r>
        <w:rPr>
          <w:rFonts w:eastAsia="Times New Roman" w:cs="Arial"/>
          <w:sz w:val="24"/>
          <w:szCs w:val="24"/>
        </w:rPr>
        <w:t>.</w:t>
      </w:r>
    </w:p>
    <w:p w:rsidR="00B27851" w:rsidRDefault="00B27851" w:rsidP="00365E2F">
      <w:pPr>
        <w:spacing w:after="0" w:line="260" w:lineRule="exact"/>
        <w:rPr>
          <w:rFonts w:cs="Arial"/>
          <w:sz w:val="24"/>
          <w:szCs w:val="24"/>
        </w:rPr>
      </w:pPr>
    </w:p>
    <w:p w:rsidR="00B27851" w:rsidRPr="00B27851" w:rsidRDefault="00B27851" w:rsidP="00365E2F">
      <w:pPr>
        <w:spacing w:after="0" w:line="260" w:lineRule="exact"/>
        <w:rPr>
          <w:rFonts w:cs="Arial"/>
          <w:sz w:val="24"/>
          <w:szCs w:val="24"/>
          <w:u w:val="single"/>
        </w:rPr>
      </w:pPr>
      <w:r w:rsidRPr="00B27851">
        <w:rPr>
          <w:rFonts w:cs="Arial"/>
          <w:sz w:val="24"/>
          <w:szCs w:val="24"/>
          <w:u w:val="single"/>
        </w:rPr>
        <w:t>All Other Sources</w:t>
      </w:r>
    </w:p>
    <w:p w:rsidR="00B27851" w:rsidRPr="00C8475A" w:rsidRDefault="00B27851" w:rsidP="00365E2F">
      <w:pPr>
        <w:spacing w:after="0" w:line="260" w:lineRule="exact"/>
        <w:rPr>
          <w:rFonts w:cs="Arial"/>
          <w:sz w:val="24"/>
          <w:szCs w:val="24"/>
        </w:rPr>
      </w:pPr>
    </w:p>
    <w:p w:rsidR="00F27DBA" w:rsidRPr="00C8475A" w:rsidRDefault="006E6C75" w:rsidP="00365E2F">
      <w:pPr>
        <w:spacing w:after="0" w:line="2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Proposed emission rates for PM</w:t>
      </w:r>
      <w:r w:rsidRPr="002C63C9">
        <w:rPr>
          <w:rFonts w:cs="Arial"/>
          <w:sz w:val="24"/>
          <w:szCs w:val="24"/>
          <w:vertAlign w:val="subscript"/>
        </w:rPr>
        <w:t>10</w:t>
      </w:r>
      <w:r>
        <w:rPr>
          <w:rFonts w:cs="Arial"/>
          <w:sz w:val="24"/>
          <w:szCs w:val="24"/>
        </w:rPr>
        <w:t xml:space="preserve"> (and PM</w:t>
      </w:r>
      <w:r w:rsidRPr="002C63C9">
        <w:rPr>
          <w:rFonts w:cs="Arial"/>
          <w:sz w:val="24"/>
          <w:szCs w:val="24"/>
          <w:vertAlign w:val="subscript"/>
        </w:rPr>
        <w:t>2.5</w:t>
      </w:r>
      <w:r>
        <w:rPr>
          <w:rFonts w:cs="Arial"/>
          <w:sz w:val="24"/>
          <w:szCs w:val="24"/>
        </w:rPr>
        <w:t xml:space="preserve"> if required as described above) set forth in all permit applications </w:t>
      </w:r>
      <w:r w:rsidRPr="00C8475A">
        <w:rPr>
          <w:rFonts w:cs="Arial"/>
          <w:sz w:val="24"/>
          <w:szCs w:val="24"/>
        </w:rPr>
        <w:t xml:space="preserve">submitted on or after </w:t>
      </w:r>
      <w:r w:rsidRPr="00AF46CD">
        <w:rPr>
          <w:rFonts w:cs="Arial"/>
          <w:b/>
          <w:sz w:val="24"/>
          <w:szCs w:val="24"/>
        </w:rPr>
        <w:t>March 1, 2012</w:t>
      </w:r>
      <w:r w:rsidRPr="00C8475A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2C63C9">
        <w:rPr>
          <w:rFonts w:cs="Arial"/>
          <w:sz w:val="24"/>
          <w:szCs w:val="24"/>
        </w:rPr>
        <w:t xml:space="preserve">should account for </w:t>
      </w:r>
      <w:r w:rsidR="00F27DBA" w:rsidRPr="00C8475A">
        <w:rPr>
          <w:rFonts w:cs="Arial"/>
          <w:sz w:val="24"/>
          <w:szCs w:val="24"/>
        </w:rPr>
        <w:t>condensable particulate matter</w:t>
      </w:r>
      <w:r w:rsidR="00F27DBA" w:rsidRPr="00C8475A">
        <w:rPr>
          <w:rFonts w:eastAsia="Calibri" w:cs="Arial"/>
          <w:sz w:val="24"/>
          <w:szCs w:val="24"/>
        </w:rPr>
        <w:t>.</w:t>
      </w:r>
    </w:p>
    <w:p w:rsidR="004C5360" w:rsidRPr="00C8475A" w:rsidRDefault="004C5360" w:rsidP="00365E2F">
      <w:pPr>
        <w:tabs>
          <w:tab w:val="left" w:pos="540"/>
        </w:tabs>
        <w:spacing w:after="0" w:line="260" w:lineRule="exact"/>
        <w:ind w:left="540" w:hanging="540"/>
        <w:rPr>
          <w:rFonts w:eastAsia="Calibri" w:cs="Arial"/>
          <w:sz w:val="24"/>
          <w:szCs w:val="24"/>
        </w:rPr>
      </w:pPr>
    </w:p>
    <w:p w:rsidR="00AF46CD" w:rsidRDefault="00995024" w:rsidP="00365E2F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60" w:lineRule="exact"/>
        <w:ind w:left="540" w:hanging="54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Continue to report c</w:t>
      </w:r>
      <w:r w:rsidR="004C5360" w:rsidRPr="00C8475A">
        <w:rPr>
          <w:rFonts w:eastAsia="Calibri" w:cs="Arial"/>
          <w:sz w:val="24"/>
          <w:szCs w:val="24"/>
        </w:rPr>
        <w:t xml:space="preserve">ondensable components </w:t>
      </w:r>
      <w:r w:rsidR="00AF46CD">
        <w:rPr>
          <w:rFonts w:eastAsia="Calibri" w:cs="Arial"/>
          <w:sz w:val="24"/>
          <w:szCs w:val="24"/>
        </w:rPr>
        <w:t>that a</w:t>
      </w:r>
      <w:r w:rsidR="004C5360" w:rsidRPr="00C8475A">
        <w:rPr>
          <w:rFonts w:eastAsia="Calibri" w:cs="Arial"/>
          <w:sz w:val="24"/>
          <w:szCs w:val="24"/>
        </w:rPr>
        <w:t xml:space="preserve">re </w:t>
      </w:r>
      <w:r w:rsidR="00AF46CD">
        <w:rPr>
          <w:rFonts w:eastAsia="Calibri" w:cs="Arial"/>
          <w:sz w:val="24"/>
          <w:szCs w:val="24"/>
        </w:rPr>
        <w:t xml:space="preserve">also regulated under LAC 33:III.Chapter 51 </w:t>
      </w:r>
      <w:r>
        <w:rPr>
          <w:rFonts w:eastAsia="Calibri" w:cs="Arial"/>
          <w:sz w:val="24"/>
          <w:szCs w:val="24"/>
        </w:rPr>
        <w:t>as</w:t>
      </w:r>
      <w:r w:rsidR="00AF46CD">
        <w:rPr>
          <w:rFonts w:eastAsia="Calibri" w:cs="Arial"/>
          <w:sz w:val="24"/>
          <w:szCs w:val="24"/>
        </w:rPr>
        <w:t xml:space="preserve"> toxic air pollutants (</w:t>
      </w:r>
      <w:r w:rsidR="004C5360" w:rsidRPr="00C8475A">
        <w:rPr>
          <w:rFonts w:eastAsia="Calibri" w:cs="Arial"/>
          <w:sz w:val="24"/>
          <w:szCs w:val="24"/>
        </w:rPr>
        <w:t>TAPs</w:t>
      </w:r>
      <w:r w:rsidR="00AF46CD">
        <w:rPr>
          <w:rFonts w:eastAsia="Calibri" w:cs="Arial"/>
          <w:sz w:val="24"/>
          <w:szCs w:val="24"/>
        </w:rPr>
        <w:t>)</w:t>
      </w:r>
      <w:r w:rsidR="004C5360" w:rsidRPr="00C8475A">
        <w:rPr>
          <w:rFonts w:eastAsia="Calibri" w:cs="Arial"/>
          <w:sz w:val="24"/>
          <w:szCs w:val="24"/>
        </w:rPr>
        <w:t xml:space="preserve"> (e.g., H</w:t>
      </w:r>
      <w:r w:rsidR="004C5360" w:rsidRPr="00C8475A">
        <w:rPr>
          <w:rFonts w:eastAsia="Calibri" w:cs="Arial"/>
          <w:sz w:val="24"/>
          <w:szCs w:val="24"/>
          <w:vertAlign w:val="subscript"/>
        </w:rPr>
        <w:t>2</w:t>
      </w:r>
      <w:r w:rsidR="004C5360" w:rsidRPr="00C8475A">
        <w:rPr>
          <w:rFonts w:eastAsia="Calibri" w:cs="Arial"/>
          <w:sz w:val="24"/>
          <w:szCs w:val="24"/>
        </w:rPr>
        <w:t>SO</w:t>
      </w:r>
      <w:r w:rsidR="004C5360" w:rsidRPr="00C8475A">
        <w:rPr>
          <w:rFonts w:eastAsia="Calibri" w:cs="Arial"/>
          <w:sz w:val="24"/>
          <w:szCs w:val="24"/>
          <w:vertAlign w:val="subscript"/>
        </w:rPr>
        <w:t>4</w:t>
      </w:r>
      <w:r w:rsidR="00AF46CD">
        <w:rPr>
          <w:rFonts w:eastAsia="Calibri" w:cs="Arial"/>
          <w:sz w:val="24"/>
          <w:szCs w:val="24"/>
        </w:rPr>
        <w:t>)</w:t>
      </w:r>
      <w:r w:rsidR="004C5360" w:rsidRPr="00C8475A">
        <w:rPr>
          <w:rFonts w:eastAsia="Calibri" w:cs="Arial"/>
          <w:sz w:val="24"/>
          <w:szCs w:val="24"/>
        </w:rPr>
        <w:t xml:space="preserve"> </w:t>
      </w:r>
      <w:r w:rsidR="00AF46CD">
        <w:rPr>
          <w:rFonts w:eastAsia="Calibri" w:cs="Arial"/>
          <w:sz w:val="24"/>
          <w:szCs w:val="24"/>
        </w:rPr>
        <w:t>separately.</w:t>
      </w:r>
    </w:p>
    <w:p w:rsidR="00AF46CD" w:rsidRDefault="00AF46CD" w:rsidP="00365E2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0" w:lineRule="exact"/>
        <w:ind w:left="540"/>
        <w:rPr>
          <w:rFonts w:eastAsia="Calibri" w:cs="Arial"/>
          <w:sz w:val="24"/>
          <w:szCs w:val="24"/>
        </w:rPr>
      </w:pPr>
    </w:p>
    <w:p w:rsidR="00AF46CD" w:rsidRPr="00AF46CD" w:rsidRDefault="00380636" w:rsidP="00365E2F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60" w:lineRule="exact"/>
        <w:ind w:left="540" w:hanging="54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To avoid overestimation of</w:t>
      </w:r>
      <w:r w:rsidR="0030126B">
        <w:rPr>
          <w:rFonts w:eastAsia="Calibri" w:cs="Arial"/>
          <w:sz w:val="24"/>
          <w:szCs w:val="24"/>
        </w:rPr>
        <w:t xml:space="preserve"> potential emissions, the applicant may specify that all or a </w:t>
      </w:r>
      <w:r>
        <w:rPr>
          <w:rFonts w:eastAsia="Calibri" w:cs="Arial"/>
          <w:sz w:val="24"/>
          <w:szCs w:val="24"/>
        </w:rPr>
        <w:t>portion</w:t>
      </w:r>
      <w:r w:rsidR="0030126B">
        <w:rPr>
          <w:rFonts w:eastAsia="Calibri" w:cs="Arial"/>
          <w:sz w:val="24"/>
          <w:szCs w:val="24"/>
        </w:rPr>
        <w:t xml:space="preserve"> of TAP emissions </w:t>
      </w:r>
      <w:r>
        <w:rPr>
          <w:rFonts w:eastAsia="Calibri" w:cs="Arial"/>
          <w:sz w:val="24"/>
          <w:szCs w:val="24"/>
        </w:rPr>
        <w:t xml:space="preserve">which would be measured as </w:t>
      </w:r>
      <w:r w:rsidR="00B750B3">
        <w:rPr>
          <w:rFonts w:eastAsia="Calibri" w:cs="Arial"/>
          <w:sz w:val="24"/>
          <w:szCs w:val="24"/>
        </w:rPr>
        <w:t xml:space="preserve">condensable </w:t>
      </w:r>
      <w:r>
        <w:rPr>
          <w:rFonts w:eastAsia="Calibri" w:cs="Arial"/>
          <w:sz w:val="24"/>
          <w:szCs w:val="24"/>
        </w:rPr>
        <w:t xml:space="preserve">particulate matter using EPA Method 202 </w:t>
      </w:r>
      <w:r w:rsidR="00B875AF">
        <w:rPr>
          <w:rFonts w:eastAsia="Calibri" w:cs="Arial"/>
          <w:sz w:val="24"/>
          <w:szCs w:val="24"/>
        </w:rPr>
        <w:t>is</w:t>
      </w:r>
      <w:r w:rsidR="0030126B">
        <w:rPr>
          <w:rFonts w:eastAsia="Calibri" w:cs="Arial"/>
          <w:sz w:val="24"/>
          <w:szCs w:val="24"/>
        </w:rPr>
        <w:t xml:space="preserve"> </w:t>
      </w:r>
      <w:r w:rsidR="008D1F11">
        <w:rPr>
          <w:rFonts w:eastAsia="Calibri" w:cs="Arial"/>
          <w:sz w:val="24"/>
          <w:szCs w:val="24"/>
        </w:rPr>
        <w:t xml:space="preserve">also </w:t>
      </w:r>
      <w:r w:rsidR="0030126B">
        <w:rPr>
          <w:rFonts w:eastAsia="Calibri" w:cs="Arial"/>
          <w:sz w:val="24"/>
          <w:szCs w:val="24"/>
        </w:rPr>
        <w:t>accounted for in the estimate of PM</w:t>
      </w:r>
      <w:r w:rsidR="0030126B" w:rsidRPr="0030126B">
        <w:rPr>
          <w:rFonts w:eastAsia="Calibri" w:cs="Arial"/>
          <w:sz w:val="24"/>
          <w:szCs w:val="24"/>
          <w:vertAlign w:val="subscript"/>
        </w:rPr>
        <w:t>10</w:t>
      </w:r>
      <w:r w:rsidR="0030126B">
        <w:rPr>
          <w:rFonts w:eastAsia="Calibri" w:cs="Arial"/>
          <w:sz w:val="24"/>
          <w:szCs w:val="24"/>
        </w:rPr>
        <w:t>/PM</w:t>
      </w:r>
      <w:r w:rsidR="0030126B" w:rsidRPr="0030126B">
        <w:rPr>
          <w:rFonts w:eastAsia="Calibri" w:cs="Arial"/>
          <w:sz w:val="24"/>
          <w:szCs w:val="24"/>
          <w:vertAlign w:val="subscript"/>
        </w:rPr>
        <w:t>2.5</w:t>
      </w:r>
      <w:r w:rsidR="00995024">
        <w:rPr>
          <w:rFonts w:eastAsia="Calibri" w:cs="Arial"/>
          <w:sz w:val="24"/>
          <w:szCs w:val="24"/>
        </w:rPr>
        <w:t>.  For example, an EIQ may be completed as follows:</w:t>
      </w:r>
    </w:p>
    <w:p w:rsidR="00AF46CD" w:rsidRDefault="00AF46CD" w:rsidP="00365E2F">
      <w:pPr>
        <w:pStyle w:val="ListParagraph"/>
        <w:spacing w:after="0" w:line="260" w:lineRule="exact"/>
        <w:rPr>
          <w:rFonts w:eastAsia="Calibri" w:cs="Arial"/>
          <w:sz w:val="24"/>
          <w:szCs w:val="24"/>
        </w:rPr>
      </w:pPr>
    </w:p>
    <w:tbl>
      <w:tblPr>
        <w:tblW w:w="8767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260"/>
        <w:gridCol w:w="1364"/>
        <w:gridCol w:w="1364"/>
        <w:gridCol w:w="1779"/>
      </w:tblGrid>
      <w:tr w:rsidR="0030126B" w:rsidRPr="0030126B" w:rsidTr="008938E3">
        <w:trPr>
          <w:trHeight w:val="720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26B" w:rsidRPr="00995024" w:rsidRDefault="0030126B" w:rsidP="0030126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t>Emission Point ID No. (Designation)</w:t>
            </w:r>
          </w:p>
          <w:p w:rsidR="0030126B" w:rsidRPr="00995024" w:rsidRDefault="0030126B" w:rsidP="0030126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126B" w:rsidRPr="00995024" w:rsidRDefault="0030126B" w:rsidP="0030126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t>Control Equipment Code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126B" w:rsidRPr="00995024" w:rsidRDefault="0030126B" w:rsidP="0030126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t>Control</w:t>
            </w: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Equipment</w:t>
            </w: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Efficiency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126B" w:rsidRPr="00995024" w:rsidRDefault="0030126B" w:rsidP="0030126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t>HAP / TAP</w:t>
            </w: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CAS Number</w:t>
            </w:r>
          </w:p>
        </w:tc>
      </w:tr>
      <w:tr w:rsidR="0030126B" w:rsidRPr="0030126B" w:rsidTr="008938E3">
        <w:trPr>
          <w:trHeight w:val="576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Particulate matter (PM</w:t>
            </w:r>
            <w:r w:rsidRPr="00995024">
              <w:rPr>
                <w:rFonts w:eastAsia="Times New Roman" w:cs="Times New Roman"/>
                <w:sz w:val="20"/>
                <w:szCs w:val="20"/>
                <w:vertAlign w:val="subscript"/>
              </w:rPr>
              <w:t>10</w:t>
            </w:r>
            <w:r w:rsidRPr="00995024">
              <w:rPr>
                <w:rFonts w:eastAsia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Particulate matter (PM</w:t>
            </w:r>
            <w:r w:rsidRPr="00995024">
              <w:rPr>
                <w:rFonts w:eastAsia="Times New Roman" w:cs="Times New Roman"/>
                <w:sz w:val="20"/>
                <w:szCs w:val="20"/>
                <w:vertAlign w:val="subscript"/>
              </w:rPr>
              <w:t>2.5</w:t>
            </w:r>
            <w:r w:rsidRPr="00995024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Sulfur dioxide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Nitrogen oxides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Carbon monoxide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Total VOC (including those listed below)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Lead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Sulfuric Acid*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F46CD" w:rsidRPr="00380636" w:rsidRDefault="00AF46CD" w:rsidP="00365E2F">
      <w:pPr>
        <w:spacing w:after="0" w:line="240" w:lineRule="exact"/>
        <w:rPr>
          <w:rFonts w:eastAsia="Calibri" w:cs="Arial"/>
          <w:sz w:val="20"/>
          <w:szCs w:val="20"/>
        </w:rPr>
      </w:pPr>
    </w:p>
    <w:p w:rsidR="0030126B" w:rsidRPr="00380636" w:rsidRDefault="0030126B" w:rsidP="00365E2F">
      <w:pPr>
        <w:tabs>
          <w:tab w:val="left" w:pos="360"/>
        </w:tabs>
        <w:spacing w:after="0" w:line="240" w:lineRule="exact"/>
        <w:ind w:left="360" w:right="360" w:hanging="180"/>
        <w:rPr>
          <w:rFonts w:eastAsia="Calibri" w:cs="Arial"/>
          <w:sz w:val="20"/>
          <w:szCs w:val="20"/>
        </w:rPr>
      </w:pPr>
      <w:r w:rsidRPr="00380636">
        <w:rPr>
          <w:rFonts w:eastAsia="Calibri" w:cs="Arial"/>
          <w:sz w:val="20"/>
          <w:szCs w:val="20"/>
        </w:rPr>
        <w:t>*</w:t>
      </w:r>
      <w:r w:rsidR="00F03AD4">
        <w:rPr>
          <w:rFonts w:eastAsia="Calibri" w:cs="Arial"/>
          <w:sz w:val="20"/>
          <w:szCs w:val="20"/>
        </w:rPr>
        <w:tab/>
      </w:r>
      <w:r w:rsidRPr="00380636">
        <w:rPr>
          <w:rFonts w:eastAsia="Calibri" w:cs="Arial"/>
          <w:sz w:val="20"/>
          <w:szCs w:val="20"/>
        </w:rPr>
        <w:t xml:space="preserve">Sulfuric acid </w:t>
      </w:r>
      <w:r w:rsidR="008F0351" w:rsidRPr="00380636">
        <w:rPr>
          <w:rFonts w:eastAsia="Calibri" w:cs="Arial"/>
          <w:sz w:val="20"/>
          <w:szCs w:val="20"/>
        </w:rPr>
        <w:t>may also be a component of condensab</w:t>
      </w:r>
      <w:r w:rsidR="00F03AD4">
        <w:rPr>
          <w:rFonts w:eastAsia="Calibri" w:cs="Arial"/>
          <w:sz w:val="20"/>
          <w:szCs w:val="20"/>
        </w:rPr>
        <w:t>le particulate matter emissions if measured by Method 202 of 40 CFR 51, Appendix M.</w:t>
      </w:r>
    </w:p>
    <w:sectPr w:rsidR="0030126B" w:rsidRPr="00380636" w:rsidSect="00365E2F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5813"/>
    <w:multiLevelType w:val="multilevel"/>
    <w:tmpl w:val="2264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8B45BD"/>
    <w:multiLevelType w:val="hybridMultilevel"/>
    <w:tmpl w:val="32CABF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FC4"/>
    <w:rsid w:val="0019492E"/>
    <w:rsid w:val="00256FC4"/>
    <w:rsid w:val="002656B0"/>
    <w:rsid w:val="002C63C9"/>
    <w:rsid w:val="0030126B"/>
    <w:rsid w:val="00317A7E"/>
    <w:rsid w:val="00365E2F"/>
    <w:rsid w:val="00380636"/>
    <w:rsid w:val="003D6572"/>
    <w:rsid w:val="004C5360"/>
    <w:rsid w:val="0054021B"/>
    <w:rsid w:val="00554830"/>
    <w:rsid w:val="006E6C75"/>
    <w:rsid w:val="00755EF5"/>
    <w:rsid w:val="00760AF3"/>
    <w:rsid w:val="00883520"/>
    <w:rsid w:val="008938E3"/>
    <w:rsid w:val="008D1F11"/>
    <w:rsid w:val="008F0351"/>
    <w:rsid w:val="00995024"/>
    <w:rsid w:val="009A4548"/>
    <w:rsid w:val="00AF46CD"/>
    <w:rsid w:val="00B27851"/>
    <w:rsid w:val="00B55FEC"/>
    <w:rsid w:val="00B750B3"/>
    <w:rsid w:val="00B875AF"/>
    <w:rsid w:val="00BD41B8"/>
    <w:rsid w:val="00BE1123"/>
    <w:rsid w:val="00BE28D3"/>
    <w:rsid w:val="00C66D1D"/>
    <w:rsid w:val="00C8475A"/>
    <w:rsid w:val="00D014C6"/>
    <w:rsid w:val="00F03AD4"/>
    <w:rsid w:val="00F2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D. Johnston</dc:creator>
  <cp:keywords/>
  <dc:description/>
  <cp:lastModifiedBy>Bryan D. Johnston</cp:lastModifiedBy>
  <cp:revision>27</cp:revision>
  <cp:lastPrinted>2011-12-12T15:24:00Z</cp:lastPrinted>
  <dcterms:created xsi:type="dcterms:W3CDTF">2011-12-08T14:42:00Z</dcterms:created>
  <dcterms:modified xsi:type="dcterms:W3CDTF">2011-12-13T16:24:00Z</dcterms:modified>
</cp:coreProperties>
</file>