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4E" w:rsidRDefault="000A644E"/>
    <w:p w:rsidR="006E0A3C" w:rsidRDefault="006E0A3C" w:rsidP="000A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A3C" w:rsidRDefault="006E0A3C" w:rsidP="000A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A3C" w:rsidRDefault="006E0A3C" w:rsidP="000A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A3C" w:rsidRDefault="006E0A3C" w:rsidP="000A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A3C" w:rsidRDefault="006E0A3C" w:rsidP="000A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4E" w:rsidRDefault="000A644E" w:rsidP="000A64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Fiscal Year 2011-2012 Work Plan</w:t>
      </w:r>
    </w:p>
    <w:p w:rsidR="000A644E" w:rsidRDefault="000A644E" w:rsidP="000A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4E" w:rsidRDefault="000A644E" w:rsidP="00313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Enforcement Division</w:t>
      </w:r>
    </w:p>
    <w:p w:rsidR="000A644E" w:rsidRDefault="000A644E" w:rsidP="00313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of Environmental Compliance</w:t>
      </w:r>
    </w:p>
    <w:p w:rsidR="000A644E" w:rsidRDefault="000A644E" w:rsidP="000A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A3C" w:rsidRDefault="00EA6988" w:rsidP="006E0A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 of  FY12 Report</w:t>
      </w:r>
    </w:p>
    <w:p w:rsidR="006E0A3C" w:rsidRDefault="006E0A3C" w:rsidP="000A64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44E" w:rsidRDefault="000A644E">
      <w:r>
        <w:br w:type="page"/>
      </w:r>
    </w:p>
    <w:tbl>
      <w:tblPr>
        <w:tblStyle w:val="TableGrid"/>
        <w:tblW w:w="5000" w:type="pct"/>
        <w:tblLook w:val="04A0"/>
      </w:tblPr>
      <w:tblGrid>
        <w:gridCol w:w="4393"/>
        <w:gridCol w:w="4393"/>
        <w:gridCol w:w="4390"/>
      </w:tblGrid>
      <w:tr w:rsidR="009772B7" w:rsidRPr="00834480" w:rsidTr="009772B7">
        <w:trPr>
          <w:trHeight w:val="376"/>
        </w:trPr>
        <w:tc>
          <w:tcPr>
            <w:tcW w:w="1667" w:type="pct"/>
            <w:vMerge w:val="restart"/>
            <w:vAlign w:val="center"/>
          </w:tcPr>
          <w:p w:rsidR="009772B7" w:rsidRPr="00834480" w:rsidRDefault="000A644E" w:rsidP="000A6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ED will meet its Operational Plan/Performance Indicator commitments by issuing </w:t>
            </w:r>
            <w:r w:rsidR="009772B7" w:rsidRPr="00834480">
              <w:rPr>
                <w:rFonts w:ascii="Times New Roman" w:hAnsi="Times New Roman" w:cs="Times New Roman"/>
                <w:sz w:val="20"/>
                <w:szCs w:val="20"/>
              </w:rPr>
              <w:t>appropriate and timely enforcement actions consistent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the prescribed timeframe.  </w:t>
            </w:r>
          </w:p>
        </w:tc>
        <w:tc>
          <w:tcPr>
            <w:tcW w:w="1667" w:type="pct"/>
          </w:tcPr>
          <w:p w:rsidR="009772B7" w:rsidRPr="00834480" w:rsidRDefault="009772B7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9772B7" w:rsidRPr="00834480" w:rsidRDefault="00B27C3E" w:rsidP="00067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  <w:r w:rsidR="00B85E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504BA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06714A">
              <w:rPr>
                <w:rFonts w:ascii="Times New Roman" w:hAnsi="Times New Roman" w:cs="Times New Roman"/>
                <w:sz w:val="20"/>
                <w:szCs w:val="20"/>
              </w:rPr>
              <w:t xml:space="preserve">is commitment was met during this fiscal year.  </w:t>
            </w:r>
          </w:p>
        </w:tc>
      </w:tr>
      <w:tr w:rsidR="009772B7" w:rsidRPr="00834480" w:rsidTr="00984CEB">
        <w:trPr>
          <w:trHeight w:val="719"/>
        </w:trPr>
        <w:tc>
          <w:tcPr>
            <w:tcW w:w="1667" w:type="pct"/>
            <w:vMerge/>
            <w:vAlign w:val="center"/>
          </w:tcPr>
          <w:p w:rsidR="009772B7" w:rsidRPr="00834480" w:rsidRDefault="009772B7" w:rsidP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9772B7" w:rsidRPr="00834480" w:rsidRDefault="009772B7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Celena J. Cage</w:t>
            </w:r>
          </w:p>
          <w:p w:rsidR="009772B7" w:rsidRPr="00834480" w:rsidRDefault="009772B7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219-3712</w:t>
            </w:r>
          </w:p>
          <w:p w:rsidR="009772B7" w:rsidRPr="00834480" w:rsidRDefault="009772B7" w:rsidP="00984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5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Celena.Cage@la.gov</w:t>
              </w:r>
            </w:hyperlink>
          </w:p>
        </w:tc>
        <w:tc>
          <w:tcPr>
            <w:tcW w:w="1666" w:type="pct"/>
            <w:vMerge/>
          </w:tcPr>
          <w:p w:rsidR="009772B7" w:rsidRPr="00834480" w:rsidRDefault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F07F04">
        <w:trPr>
          <w:trHeight w:val="207"/>
        </w:trPr>
        <w:tc>
          <w:tcPr>
            <w:tcW w:w="1667" w:type="pct"/>
            <w:vMerge w:val="restart"/>
            <w:vAlign w:val="center"/>
          </w:tcPr>
          <w:p w:rsidR="00F07F04" w:rsidRDefault="00F07F04" w:rsidP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and update, if necessary, Circuit Rider guidelines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21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1C61A0" w:rsidRPr="00834480" w:rsidRDefault="001C61A0" w:rsidP="001C6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Circuit Rider guidelines were </w:t>
            </w:r>
            <w:r w:rsidR="00293F44">
              <w:rPr>
                <w:rFonts w:ascii="Times New Roman" w:hAnsi="Times New Roman" w:cs="Times New Roman"/>
                <w:sz w:val="20"/>
                <w:szCs w:val="20"/>
              </w:rPr>
              <w:t xml:space="preserve">periodically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reviewed.  However, changes were not made during this time frame.  </w:t>
            </w:r>
            <w:r w:rsidR="00B85EDA">
              <w:rPr>
                <w:rFonts w:ascii="Times New Roman" w:hAnsi="Times New Roman" w:cs="Times New Roman"/>
                <w:sz w:val="20"/>
                <w:szCs w:val="20"/>
              </w:rPr>
              <w:t xml:space="preserve">It </w:t>
            </w:r>
            <w:r w:rsidR="00984CEB">
              <w:rPr>
                <w:rFonts w:ascii="Times New Roman" w:hAnsi="Times New Roman" w:cs="Times New Roman"/>
                <w:sz w:val="20"/>
                <w:szCs w:val="20"/>
              </w:rPr>
              <w:t>is anticipated that necessary changes to the guidelines will be made during fiscal year 2012-2013.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07F04" w:rsidRPr="00834480" w:rsidTr="00D87261">
        <w:trPr>
          <w:trHeight w:val="206"/>
        </w:trPr>
        <w:tc>
          <w:tcPr>
            <w:tcW w:w="1667" w:type="pct"/>
            <w:vMerge/>
            <w:vAlign w:val="center"/>
          </w:tcPr>
          <w:p w:rsidR="00F07F04" w:rsidRDefault="00F07F04" w:rsidP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Cheryl Easley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219-3713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6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Cheryl.Easley@la.gov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F07F04">
        <w:trPr>
          <w:trHeight w:val="167"/>
        </w:trPr>
        <w:tc>
          <w:tcPr>
            <w:tcW w:w="1667" w:type="pct"/>
            <w:vMerge w:val="restart"/>
            <w:vAlign w:val="center"/>
          </w:tcPr>
          <w:p w:rsidR="00F07F04" w:rsidRDefault="00F07F04" w:rsidP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 the online BEP suggestion process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21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1C61A0" w:rsidRPr="00834480" w:rsidRDefault="001C61A0" w:rsidP="00984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EB">
              <w:rPr>
                <w:rFonts w:ascii="Times New Roman" w:hAnsi="Times New Roman" w:cs="Times New Roman"/>
                <w:sz w:val="20"/>
                <w:szCs w:val="20"/>
              </w:rPr>
              <w:t>The online BEP suggest</w:t>
            </w:r>
            <w:r w:rsidR="00293F44" w:rsidRPr="00984CEB">
              <w:rPr>
                <w:rFonts w:ascii="Times New Roman" w:hAnsi="Times New Roman" w:cs="Times New Roman"/>
                <w:sz w:val="20"/>
                <w:szCs w:val="20"/>
              </w:rPr>
              <w:t xml:space="preserve">ion process was evaluated.  Internal discussions also occurred with the Information Technology (IT) group regarding implementation of other applications and/or software to make this process more efficient.  Any updates or changes will be implemented during the 2012-2013 </w:t>
            </w:r>
            <w:r w:rsidR="00984CEB" w:rsidRPr="00984CE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293F44" w:rsidRPr="00984CEB">
              <w:rPr>
                <w:rFonts w:ascii="Times New Roman" w:hAnsi="Times New Roman" w:cs="Times New Roman"/>
                <w:sz w:val="20"/>
                <w:szCs w:val="20"/>
              </w:rPr>
              <w:t xml:space="preserve">iscal </w:t>
            </w:r>
            <w:r w:rsidR="00984CEB" w:rsidRPr="00984CE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293F44" w:rsidRPr="00984CEB">
              <w:rPr>
                <w:rFonts w:ascii="Times New Roman" w:hAnsi="Times New Roman" w:cs="Times New Roman"/>
                <w:sz w:val="20"/>
                <w:szCs w:val="20"/>
              </w:rPr>
              <w:t>ear.</w:t>
            </w:r>
          </w:p>
        </w:tc>
      </w:tr>
      <w:tr w:rsidR="00F07F04" w:rsidRPr="00834480" w:rsidTr="00D87261">
        <w:trPr>
          <w:trHeight w:val="166"/>
        </w:trPr>
        <w:tc>
          <w:tcPr>
            <w:tcW w:w="1667" w:type="pct"/>
            <w:vMerge/>
            <w:vAlign w:val="center"/>
          </w:tcPr>
          <w:p w:rsidR="00F07F04" w:rsidRDefault="00F07F04" w:rsidP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Celena J. Cage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219-3712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7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Celena.Cage@la.gov</w:t>
              </w:r>
            </w:hyperlink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F07F04">
        <w:trPr>
          <w:trHeight w:val="207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A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Reduce the number of water enforcement backlog referrals</w:t>
            </w:r>
            <w:r w:rsidR="009B5EFA">
              <w:rPr>
                <w:rFonts w:ascii="Times New Roman" w:hAnsi="Times New Roman" w:cs="Times New Roman"/>
                <w:sz w:val="20"/>
                <w:szCs w:val="20"/>
              </w:rPr>
              <w:t xml:space="preserve"> by thirty percent (30%) </w:t>
            </w:r>
            <w:r w:rsidR="00A56497">
              <w:rPr>
                <w:rFonts w:ascii="Times New Roman" w:hAnsi="Times New Roman" w:cs="Times New Roman"/>
                <w:sz w:val="20"/>
                <w:szCs w:val="20"/>
              </w:rPr>
              <w:t>by issuance of t</w:t>
            </w:r>
            <w:r w:rsidR="009B5EFA">
              <w:rPr>
                <w:rFonts w:ascii="Times New Roman" w:hAnsi="Times New Roman" w:cs="Times New Roman"/>
                <w:sz w:val="20"/>
                <w:szCs w:val="20"/>
              </w:rPr>
              <w:t xml:space="preserve">he appropriate enforcement document (i.e., compliance order, notice of violation, no further action memo, etc.).  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21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2400B1" w:rsidRPr="002400B1" w:rsidRDefault="002400B1" w:rsidP="002400B1">
            <w:pPr>
              <w:pStyle w:val="CommentText"/>
              <w:rPr>
                <w:rFonts w:ascii="Times New Roman" w:hAnsi="Times New Roman" w:cs="Times New Roman"/>
              </w:rPr>
            </w:pPr>
            <w:r w:rsidRPr="002400B1">
              <w:rPr>
                <w:rFonts w:ascii="Times New Roman" w:hAnsi="Times New Roman" w:cs="Times New Roman"/>
              </w:rPr>
              <w:t>The backlog of water enforcement referrals is 1364.  409 backlog referrals needed to be addressed to achieve the 30% annual goal.  311 backlog referrals were addressed this fiscal year (22.80% reduced; 76% of the annual goal)</w:t>
            </w:r>
          </w:p>
          <w:p w:rsidR="00787C36" w:rsidRPr="00834480" w:rsidRDefault="00787C36" w:rsidP="00293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D87261">
        <w:trPr>
          <w:trHeight w:val="206"/>
        </w:trPr>
        <w:tc>
          <w:tcPr>
            <w:tcW w:w="1667" w:type="pct"/>
            <w:vMerge/>
            <w:vAlign w:val="center"/>
          </w:tcPr>
          <w:p w:rsidR="00F07F04" w:rsidRDefault="00F07F04" w:rsidP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Celena J. Cage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219-3712</w:t>
            </w:r>
          </w:p>
          <w:p w:rsidR="00F07F04" w:rsidRPr="00834480" w:rsidRDefault="00F07F04" w:rsidP="00295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8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Celena.Cage@la.gov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1F394E">
        <w:tc>
          <w:tcPr>
            <w:tcW w:w="5000" w:type="pct"/>
            <w:gridSpan w:val="3"/>
          </w:tcPr>
          <w:p w:rsidR="00F07F04" w:rsidRPr="002E6585" w:rsidRDefault="00F07F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585">
              <w:rPr>
                <w:rFonts w:ascii="Times New Roman" w:hAnsi="Times New Roman" w:cs="Times New Roman"/>
                <w:b/>
                <w:sz w:val="20"/>
                <w:szCs w:val="20"/>
              </w:rPr>
              <w:t>Performance Partnership Grant (PPG) Commitments</w:t>
            </w:r>
          </w:p>
        </w:tc>
      </w:tr>
      <w:tr w:rsidR="00F07F04" w:rsidRPr="00834480" w:rsidTr="004D10F0">
        <w:trPr>
          <w:trHeight w:val="620"/>
        </w:trPr>
        <w:tc>
          <w:tcPr>
            <w:tcW w:w="1667" w:type="pct"/>
          </w:tcPr>
          <w:p w:rsidR="00F07F04" w:rsidRPr="00834480" w:rsidRDefault="00F07F04" w:rsidP="00CB2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The Enforcement Division (ED) will meet its PPG commitments, by achieving the following:</w:t>
            </w:r>
          </w:p>
        </w:tc>
        <w:tc>
          <w:tcPr>
            <w:tcW w:w="1667" w:type="pct"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CB29D6">
        <w:trPr>
          <w:trHeight w:val="402"/>
        </w:trPr>
        <w:tc>
          <w:tcPr>
            <w:tcW w:w="1667" w:type="pct"/>
            <w:vMerge w:val="restart"/>
          </w:tcPr>
          <w:p w:rsidR="00F07F04" w:rsidRPr="00834480" w:rsidRDefault="00F07F04" w:rsidP="00F55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Address and report high priority violations to EPA in a timely manner consistent with HPV policy and/or the Louisiana Revised Statutes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Pr="009B5BF9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BF9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0E5E4D" w:rsidRPr="009B5BF9" w:rsidRDefault="009B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BF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E5E4D" w:rsidRPr="009B5BF9">
              <w:rPr>
                <w:rFonts w:ascii="Times New Roman" w:hAnsi="Times New Roman" w:cs="Times New Roman"/>
                <w:sz w:val="20"/>
                <w:szCs w:val="20"/>
              </w:rPr>
              <w:t>ctions were issued to address HPV in a timely manner. All HPVs and the status thereof were reported to EPA in a timely manner</w:t>
            </w:r>
            <w:r w:rsidR="006C34A1" w:rsidRPr="009B5BF9">
              <w:rPr>
                <w:rFonts w:ascii="Times New Roman" w:hAnsi="Times New Roman" w:cs="Times New Roman"/>
                <w:sz w:val="20"/>
                <w:szCs w:val="20"/>
              </w:rPr>
              <w:t xml:space="preserve"> consistent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C34A1" w:rsidRPr="009B5BF9">
              <w:rPr>
                <w:rFonts w:ascii="Times New Roman" w:hAnsi="Times New Roman" w:cs="Times New Roman"/>
                <w:sz w:val="20"/>
                <w:szCs w:val="20"/>
              </w:rPr>
              <w:t>Louisiana Revised Statutes</w:t>
            </w:r>
            <w:r w:rsidR="000E5E4D" w:rsidRPr="009B5B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07F04" w:rsidRPr="00834480" w:rsidTr="001F394E">
        <w:trPr>
          <w:trHeight w:val="401"/>
        </w:trPr>
        <w:tc>
          <w:tcPr>
            <w:tcW w:w="1667" w:type="pct"/>
            <w:vMerge/>
          </w:tcPr>
          <w:p w:rsidR="00F07F04" w:rsidRPr="00834480" w:rsidRDefault="00F07F04" w:rsidP="00F55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Leigh Gauthreaux</w:t>
            </w:r>
          </w:p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219-3712</w:t>
            </w:r>
          </w:p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</w:t>
            </w:r>
            <w:hyperlink r:id="rId9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Leigh.Gauthreaux@la.gov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CB29D6">
        <w:trPr>
          <w:trHeight w:val="527"/>
        </w:trPr>
        <w:tc>
          <w:tcPr>
            <w:tcW w:w="1667" w:type="pct"/>
            <w:vMerge w:val="restart"/>
          </w:tcPr>
          <w:p w:rsidR="00F07F04" w:rsidRPr="00834480" w:rsidRDefault="00F07F04" w:rsidP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Enter all required minimum data requirements (MDRs) into AFS consistent with the October 1, 2008 Source Compliance and State Action Reporting (SFB83 Supporting Statement</w:t>
            </w:r>
            <w:r w:rsidR="00A564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0E5E4D" w:rsidRPr="00834480" w:rsidRDefault="000E5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BF9">
              <w:rPr>
                <w:rFonts w:ascii="Times New Roman" w:hAnsi="Times New Roman" w:cs="Times New Roman"/>
                <w:sz w:val="20"/>
                <w:szCs w:val="20"/>
              </w:rPr>
              <w:t>All MDRs were uploaded/entered into AFS consistent with the October 1, 2008 Source Compliance and State Action Reporting (SFB83 Supporting Statement).</w:t>
            </w:r>
          </w:p>
        </w:tc>
      </w:tr>
      <w:tr w:rsidR="00F07F04" w:rsidRPr="00834480" w:rsidTr="001F394E">
        <w:trPr>
          <w:trHeight w:val="527"/>
        </w:trPr>
        <w:tc>
          <w:tcPr>
            <w:tcW w:w="1667" w:type="pct"/>
            <w:vMerge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Leigh Gauthreaux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219-3712</w:t>
            </w:r>
          </w:p>
          <w:p w:rsidR="00F07F04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</w:t>
            </w:r>
            <w:hyperlink r:id="rId10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Leigh.Gauthreaux@la.gov</w:t>
              </w:r>
            </w:hyperlink>
          </w:p>
          <w:p w:rsidR="002E6585" w:rsidRDefault="002E6585" w:rsidP="002E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2E6585" w:rsidRDefault="002E6585" w:rsidP="002E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Misty Huffman</w:t>
            </w:r>
          </w:p>
          <w:p w:rsidR="002E6585" w:rsidRDefault="002E6585" w:rsidP="002E6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B56E2E">
              <w:rPr>
                <w:rFonts w:ascii="Times New Roman" w:hAnsi="Times New Roman" w:cs="Times New Roman"/>
                <w:sz w:val="20"/>
                <w:szCs w:val="20"/>
              </w:rPr>
              <w:t>3769</w:t>
            </w:r>
          </w:p>
          <w:p w:rsidR="002E6585" w:rsidRPr="00834480" w:rsidRDefault="00824AC9" w:rsidP="00295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E6585" w:rsidRPr="009D524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Misty.Huffman@la.gov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9772B7">
        <w:trPr>
          <w:trHeight w:val="89"/>
        </w:trPr>
        <w:tc>
          <w:tcPr>
            <w:tcW w:w="1667" w:type="pct"/>
            <w:vMerge w:val="restart"/>
            <w:vAlign w:val="center"/>
          </w:tcPr>
          <w:p w:rsidR="00F07F04" w:rsidRPr="00834480" w:rsidRDefault="009B5EFA" w:rsidP="009B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Implement the e</w:t>
            </w:r>
            <w:r w:rsidR="00F07F04" w:rsidRPr="00834480">
              <w:rPr>
                <w:rFonts w:ascii="Times New Roman" w:hAnsi="Times New Roman" w:cs="Times New Roman"/>
                <w:sz w:val="20"/>
                <w:szCs w:val="20"/>
              </w:rPr>
              <w:t>xit strategy for Refinery Initiative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, as appropriate.</w:t>
            </w:r>
          </w:p>
        </w:tc>
        <w:tc>
          <w:tcPr>
            <w:tcW w:w="1667" w:type="pct"/>
          </w:tcPr>
          <w:p w:rsidR="00F07F04" w:rsidRPr="002950AB" w:rsidRDefault="00F07F04" w:rsidP="00F55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0AB">
              <w:rPr>
                <w:rFonts w:ascii="Times New Roman" w:hAnsi="Times New Roman" w:cs="Times New Roman"/>
                <w:b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0E5E4D" w:rsidRPr="00834480" w:rsidRDefault="000E5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Department initiated discussions with the remaining refinery subject to the Refinery Initiative. The Department</w:t>
            </w:r>
            <w:r w:rsidR="00984CE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goals are to complete negotiations with the refinery during the 2012-2013 fiscal year.</w:t>
            </w:r>
          </w:p>
        </w:tc>
      </w:tr>
      <w:tr w:rsidR="00F07F04" w:rsidRPr="00834480" w:rsidTr="005521AB">
        <w:trPr>
          <w:trHeight w:val="88"/>
        </w:trPr>
        <w:tc>
          <w:tcPr>
            <w:tcW w:w="1667" w:type="pct"/>
            <w:vMerge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Leigh Gauthreaux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219-3712</w:t>
            </w:r>
          </w:p>
          <w:p w:rsidR="00F07F04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</w:t>
            </w:r>
            <w:hyperlink r:id="rId12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Leigh.Gauthreaux@la.gov</w:t>
              </w:r>
            </w:hyperlink>
          </w:p>
          <w:p w:rsidR="002E6585" w:rsidRDefault="002E6585" w:rsidP="002E6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2E6585" w:rsidRDefault="002E6585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Richard Ober, Jr.</w:t>
            </w:r>
          </w:p>
          <w:p w:rsidR="002E6585" w:rsidRDefault="002E6585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 (225) 219-</w:t>
            </w:r>
            <w:r w:rsidR="00B56E2E">
              <w:rPr>
                <w:rFonts w:ascii="Times New Roman" w:hAnsi="Times New Roman" w:cs="Times New Roman"/>
                <w:sz w:val="20"/>
                <w:szCs w:val="20"/>
              </w:rPr>
              <w:t>3704</w:t>
            </w:r>
          </w:p>
          <w:p w:rsidR="002E6585" w:rsidRPr="00834480" w:rsidRDefault="002E6585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13" w:history="1">
              <w:r w:rsidRPr="009D524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Richard.Ober@la.gov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9772B7">
        <w:trPr>
          <w:trHeight w:val="334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Enter all RCRA violations into RCRAInfo.  Enter a facility’s return to compliance status into RCRAInfo. 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357475" w:rsidRPr="00834480" w:rsidRDefault="00357475" w:rsidP="00357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commitment was met. </w:t>
            </w:r>
            <w:r w:rsidR="000E5E4D">
              <w:rPr>
                <w:rFonts w:ascii="Times New Roman" w:hAnsi="Times New Roman" w:cs="Times New Roman"/>
                <w:sz w:val="20"/>
                <w:szCs w:val="20"/>
              </w:rPr>
              <w:t xml:space="preserve">All required information was entered into RCRAInfo for affected facilities, including </w:t>
            </w:r>
            <w:r w:rsidR="00984CE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0E5E4D">
              <w:rPr>
                <w:rFonts w:ascii="Times New Roman" w:hAnsi="Times New Roman" w:cs="Times New Roman"/>
                <w:sz w:val="20"/>
                <w:szCs w:val="20"/>
              </w:rPr>
              <w:t>facilities returned to compliance status, where applicable.</w:t>
            </w:r>
          </w:p>
        </w:tc>
      </w:tr>
      <w:tr w:rsidR="00F07F04" w:rsidRPr="00834480" w:rsidTr="00D6670C">
        <w:trPr>
          <w:trHeight w:val="334"/>
        </w:trPr>
        <w:tc>
          <w:tcPr>
            <w:tcW w:w="1667" w:type="pct"/>
            <w:vMerge/>
            <w:vAlign w:val="center"/>
          </w:tcPr>
          <w:p w:rsidR="00F07F04" w:rsidRPr="00834480" w:rsidRDefault="00F07F04" w:rsidP="00977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Cheryl Easley</w:t>
            </w:r>
          </w:p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219-3713</w:t>
            </w:r>
          </w:p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14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Cheryl.Easley@la.gov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4D10F0">
        <w:trPr>
          <w:trHeight w:val="1122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313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Identify and initiate enforcement action (This shall mean the facility has been placed under enforcement review.  Enforcement action, which is</w:t>
            </w:r>
            <w:r w:rsidRPr="008344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considered under enforcement review, includes warning letters, phone calls, meetings, and referral for formal enforcement) for majors and 92-500 and significant minors for the following:  effluent violations; inspection deficiencies; non-receipt of DMRs or required compliance schedule reports.  </w:t>
            </w:r>
          </w:p>
        </w:tc>
        <w:tc>
          <w:tcPr>
            <w:tcW w:w="1667" w:type="pct"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Pr="002400B1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2400B1" w:rsidRDefault="002400B1" w:rsidP="00240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0B1" w:rsidRPr="002400B1" w:rsidRDefault="002400B1" w:rsidP="00240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>450 formal or informal enforcement actions were initiated this fiscal year for tracked facilities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(i.e., </w:t>
            </w: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>110 Under Enforcement Review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>248 Received Informal 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714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>92 Received Formal 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57475" w:rsidRPr="002400B1" w:rsidRDefault="00357475" w:rsidP="003574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07F04" w:rsidRPr="00834480" w:rsidTr="00390B12">
        <w:trPr>
          <w:trHeight w:val="1121"/>
        </w:trPr>
        <w:tc>
          <w:tcPr>
            <w:tcW w:w="1667" w:type="pct"/>
            <w:vMerge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B56E2E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15" w:history="1">
              <w:r w:rsidR="00A56497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  <w:r w:rsidR="00A56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A34CDF">
        <w:trPr>
          <w:trHeight w:val="407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Identify and initiate </w:t>
            </w:r>
            <w:r w:rsidRPr="00834480">
              <w:rPr>
                <w:rFonts w:ascii="Times New Roman" w:hAnsi="Times New Roman" w:cs="Times New Roman"/>
                <w:bCs/>
                <w:sz w:val="20"/>
                <w:szCs w:val="20"/>
              </w:rPr>
              <w:t>administrative</w:t>
            </w:r>
            <w:r w:rsidRPr="00834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close-out on final formal enforcement actions when </w:t>
            </w:r>
            <w:r w:rsidRPr="00834480">
              <w:rPr>
                <w:rFonts w:ascii="Times New Roman" w:hAnsi="Times New Roman" w:cs="Times New Roman"/>
                <w:bCs/>
                <w:sz w:val="20"/>
                <w:szCs w:val="20"/>
              </w:rPr>
              <w:t>a follow-up inspection or file review reveals that the facility is compliant with the action.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05029C" w:rsidRPr="00834480" w:rsidRDefault="002400B1" w:rsidP="00067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 formal enforcement actions were administratively closed 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during 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this 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fiscal 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>year.</w:t>
            </w:r>
            <w:r w:rsidR="000502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07F04" w:rsidRPr="00834480" w:rsidTr="00490EB0">
        <w:trPr>
          <w:trHeight w:val="406"/>
        </w:trPr>
        <w:tc>
          <w:tcPr>
            <w:tcW w:w="1667" w:type="pct"/>
            <w:vMerge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16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  <w:r w:rsidR="00900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A34CDF">
        <w:trPr>
          <w:trHeight w:val="407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Address violations from wet weather (CAFO/AFO, SSO, bypasses, storm water) through a targeting strategy that was developed by the Department in June 2005 and approved by EPA in February 2007.   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Pr="002400B1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05029C" w:rsidRPr="002400B1" w:rsidRDefault="00240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 enforcement actions issued 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by the Department during 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this 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fiscal 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>year addressed wet weather violations.</w:t>
            </w:r>
          </w:p>
        </w:tc>
      </w:tr>
      <w:tr w:rsidR="00F07F04" w:rsidRPr="00834480" w:rsidTr="0005689D">
        <w:trPr>
          <w:trHeight w:val="406"/>
        </w:trPr>
        <w:tc>
          <w:tcPr>
            <w:tcW w:w="1667" w:type="pct"/>
            <w:vMerge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17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  <w:r w:rsidR="00900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A34CDF">
        <w:trPr>
          <w:trHeight w:val="307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Issue formal administrative orders to return facility to compliance within 12 months of receiving a viable compliance schedule.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05029C" w:rsidRPr="00834480" w:rsidRDefault="002400B1" w:rsidP="00240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formals administrative orders/enforcement actions containing viable compliance schedules were issued 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by the Department 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>within 12 months o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 receipt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 during this fiscal year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07F04" w:rsidRPr="00834480" w:rsidTr="001A3CD7">
        <w:trPr>
          <w:trHeight w:val="306"/>
        </w:trPr>
        <w:tc>
          <w:tcPr>
            <w:tcW w:w="1667" w:type="pct"/>
            <w:vMerge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</w:t>
            </w:r>
            <w:hyperlink r:id="rId18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7EA4" w:rsidRDefault="001E7EA4">
      <w:r>
        <w:br w:type="page"/>
      </w:r>
    </w:p>
    <w:tbl>
      <w:tblPr>
        <w:tblStyle w:val="TableGrid"/>
        <w:tblW w:w="5000" w:type="pct"/>
        <w:tblLook w:val="04A0"/>
      </w:tblPr>
      <w:tblGrid>
        <w:gridCol w:w="4393"/>
        <w:gridCol w:w="4393"/>
        <w:gridCol w:w="4390"/>
      </w:tblGrid>
      <w:tr w:rsidR="00F07F04" w:rsidRPr="00834480" w:rsidTr="00A34CDF">
        <w:trPr>
          <w:trHeight w:val="307"/>
        </w:trPr>
        <w:tc>
          <w:tcPr>
            <w:tcW w:w="1667" w:type="pct"/>
            <w:vMerge w:val="restart"/>
            <w:vAlign w:val="center"/>
          </w:tcPr>
          <w:p w:rsidR="001E7EA4" w:rsidRDefault="001E7EA4" w:rsidP="00834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04" w:rsidRPr="00834480" w:rsidRDefault="00F07F04" w:rsidP="00834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Review and process all 3</w:t>
            </w:r>
            <w:r w:rsidRPr="0083448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 party notices of intent and Initiate action if CWA violations exist within 60 days of receipt of the notices.</w:t>
            </w:r>
          </w:p>
        </w:tc>
        <w:tc>
          <w:tcPr>
            <w:tcW w:w="1667" w:type="pct"/>
          </w:tcPr>
          <w:p w:rsidR="001E7EA4" w:rsidRDefault="001E7EA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1E7EA4" w:rsidRDefault="001E7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05029C" w:rsidRPr="00834480" w:rsidRDefault="002400B1" w:rsidP="00240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Twelve (12) 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notices of intent alleging CWA 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violations 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were received 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by the Department 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this </w:t>
            </w:r>
            <w:r w:rsidR="005D6D5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fiscal </w:t>
            </w:r>
            <w:r w:rsidR="0005029C" w:rsidRPr="002400B1">
              <w:rPr>
                <w:rFonts w:ascii="Times New Roman" w:hAnsi="Times New Roman" w:cs="Times New Roman"/>
                <w:sz w:val="20"/>
                <w:szCs w:val="20"/>
              </w:rPr>
              <w:t xml:space="preserve">year.  </w:t>
            </w:r>
            <w:r w:rsidR="008004BD" w:rsidRPr="002400B1">
              <w:rPr>
                <w:rFonts w:ascii="Times New Roman" w:hAnsi="Times New Roman" w:cs="Times New Roman"/>
                <w:sz w:val="20"/>
                <w:szCs w:val="20"/>
              </w:rPr>
              <w:t>Each was processed within 60 days of receipt.</w:t>
            </w:r>
          </w:p>
        </w:tc>
      </w:tr>
      <w:tr w:rsidR="00F07F04" w:rsidRPr="00834480" w:rsidTr="00391618">
        <w:trPr>
          <w:trHeight w:val="306"/>
        </w:trPr>
        <w:tc>
          <w:tcPr>
            <w:tcW w:w="1667" w:type="pct"/>
            <w:vMerge/>
            <w:vAlign w:val="center"/>
          </w:tcPr>
          <w:p w:rsidR="00F07F04" w:rsidRPr="00834480" w:rsidRDefault="00F07F04" w:rsidP="00834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9000A6" w:rsidRPr="00834480" w:rsidRDefault="009000A6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19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A34CDF">
        <w:trPr>
          <w:trHeight w:val="514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834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Where LDEQ has joint enforcement authority for Federal Consent Decrees, all DMRs, inspections, and enforcement data shall be entered into ICIS for agreed-upon facilities within 30 working days of receipt/issuance of the documents.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Pr="00B85EDA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EDA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8004BD" w:rsidRPr="008004BD" w:rsidRDefault="008004BD" w:rsidP="00984C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85EDA">
              <w:rPr>
                <w:rFonts w:ascii="Times New Roman" w:hAnsi="Times New Roman" w:cs="Times New Roman"/>
                <w:sz w:val="20"/>
                <w:szCs w:val="20"/>
              </w:rPr>
              <w:t>It was not necessarily for LDEQ to</w:t>
            </w:r>
            <w:r w:rsidR="00B85EDA" w:rsidRPr="00B85EDA">
              <w:rPr>
                <w:rFonts w:ascii="Times New Roman" w:hAnsi="Times New Roman" w:cs="Times New Roman"/>
                <w:sz w:val="20"/>
                <w:szCs w:val="20"/>
              </w:rPr>
              <w:t xml:space="preserve"> enter the referenced information into ICIS for Federal Consent Decrees where LDEQ has joint enforcement authority, as EPA agreed to enter the information into ICIS during this fiscal year.  </w:t>
            </w:r>
            <w:r w:rsidRPr="00B85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7F04" w:rsidRPr="00834480" w:rsidTr="00E466D8">
        <w:trPr>
          <w:trHeight w:val="513"/>
        </w:trPr>
        <w:tc>
          <w:tcPr>
            <w:tcW w:w="1667" w:type="pct"/>
            <w:vMerge/>
            <w:vAlign w:val="center"/>
          </w:tcPr>
          <w:p w:rsidR="00F07F04" w:rsidRPr="00834480" w:rsidRDefault="00F07F04" w:rsidP="00834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0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A34CDF">
        <w:trPr>
          <w:trHeight w:val="307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Address violations at major facilities before the facility appears a second consecutive time as SNC on the QNCR.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8004BD" w:rsidRPr="00834480" w:rsidRDefault="00EE4F29" w:rsidP="00EE4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29">
              <w:rPr>
                <w:rFonts w:ascii="Times New Roman" w:hAnsi="Times New Roman" w:cs="Times New Roman"/>
                <w:sz w:val="20"/>
                <w:szCs w:val="20"/>
              </w:rPr>
              <w:t>24 major facilities were identified this fiscal year as requiring addressing action before appearing on a second consecutive final QNCR.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4F29">
              <w:rPr>
                <w:rFonts w:ascii="Times New Roman" w:hAnsi="Times New Roman" w:cs="Times New Roman"/>
                <w:sz w:val="20"/>
                <w:szCs w:val="20"/>
              </w:rPr>
              <w:t>16 received formal enforcement actions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E4F29">
              <w:rPr>
                <w:rFonts w:ascii="Times New Roman" w:hAnsi="Times New Roman" w:cs="Times New Roman"/>
                <w:sz w:val="20"/>
                <w:szCs w:val="20"/>
              </w:rPr>
              <w:t>7 did not require addressing action due to ongoing construction schedule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 w:rsidRPr="00EE4F29">
              <w:rPr>
                <w:rFonts w:ascii="Times New Roman" w:hAnsi="Times New Roman" w:cs="Times New Roman"/>
                <w:sz w:val="20"/>
                <w:szCs w:val="20"/>
              </w:rPr>
              <w:t>1 did not require addressing action because the second consecutive quarter was the first quarter following a construction schedule</w:t>
            </w:r>
          </w:p>
        </w:tc>
      </w:tr>
      <w:tr w:rsidR="00F07F04" w:rsidRPr="00834480" w:rsidTr="000928FD">
        <w:trPr>
          <w:trHeight w:val="306"/>
        </w:trPr>
        <w:tc>
          <w:tcPr>
            <w:tcW w:w="1667" w:type="pct"/>
            <w:vMerge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1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A34CDF">
        <w:trPr>
          <w:trHeight w:val="407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LDEQ will enter agreed-upon WENDB data elements for majors and 92-500’s, and significant minors into ICIS in accordance with the PCS policy statement.  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8004BD" w:rsidRPr="00834480" w:rsidRDefault="00800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commitment was met.  All agreed upon WENDB data elements were entered into ICIS</w:t>
            </w:r>
            <w:r w:rsidR="00984CEB">
              <w:rPr>
                <w:rFonts w:ascii="Times New Roman" w:hAnsi="Times New Roman" w:cs="Times New Roman"/>
                <w:sz w:val="20"/>
                <w:szCs w:val="20"/>
              </w:rPr>
              <w:t xml:space="preserve"> in accordance with the PCS policy statement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07F04" w:rsidRPr="00834480" w:rsidTr="00401A87">
        <w:trPr>
          <w:trHeight w:val="406"/>
        </w:trPr>
        <w:tc>
          <w:tcPr>
            <w:tcW w:w="1667" w:type="pct"/>
            <w:vMerge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9000A6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2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A34CDF">
        <w:trPr>
          <w:trHeight w:val="407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LDEQ will enter all DMR data into EPA’s ICIS database for majors and 92-500 minors, and significant minors within 30 working days of the DMRs.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8004BD" w:rsidRPr="00834480" w:rsidRDefault="008004BD" w:rsidP="00EE4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29">
              <w:rPr>
                <w:rFonts w:ascii="Times New Roman" w:hAnsi="Times New Roman" w:cs="Times New Roman"/>
                <w:sz w:val="20"/>
                <w:szCs w:val="20"/>
              </w:rPr>
              <w:t>This commitment was met.  9</w:t>
            </w:r>
            <w:r w:rsidR="00EE4F29" w:rsidRPr="00EE4F29">
              <w:rPr>
                <w:rFonts w:ascii="Times New Roman" w:hAnsi="Times New Roman" w:cs="Times New Roman"/>
                <w:sz w:val="20"/>
                <w:szCs w:val="20"/>
              </w:rPr>
              <w:t>9.60</w:t>
            </w:r>
            <w:r w:rsidRPr="00EE4F29">
              <w:rPr>
                <w:rFonts w:ascii="Times New Roman" w:hAnsi="Times New Roman" w:cs="Times New Roman"/>
                <w:sz w:val="20"/>
                <w:szCs w:val="20"/>
              </w:rPr>
              <w:t>% of DMRs received from applicable facilities w</w:t>
            </w:r>
            <w:r w:rsidR="005D6D5C" w:rsidRPr="00EE4F29">
              <w:rPr>
                <w:rFonts w:ascii="Times New Roman" w:hAnsi="Times New Roman" w:cs="Times New Roman"/>
                <w:sz w:val="20"/>
                <w:szCs w:val="20"/>
              </w:rPr>
              <w:t xml:space="preserve">ere </w:t>
            </w:r>
            <w:r w:rsidRPr="00EE4F29">
              <w:rPr>
                <w:rFonts w:ascii="Times New Roman" w:hAnsi="Times New Roman" w:cs="Times New Roman"/>
                <w:sz w:val="20"/>
                <w:szCs w:val="20"/>
              </w:rPr>
              <w:t>entered into ICIS within 30 working days</w:t>
            </w:r>
            <w:r w:rsidR="00FC3C80" w:rsidRPr="00EE4F29">
              <w:rPr>
                <w:rFonts w:ascii="Times New Roman" w:hAnsi="Times New Roman" w:cs="Times New Roman"/>
                <w:sz w:val="20"/>
                <w:szCs w:val="20"/>
              </w:rPr>
              <w:t xml:space="preserve"> of receipt.  This surpassed LDEQ’s PPG commitment, which is 95%.</w:t>
            </w:r>
          </w:p>
        </w:tc>
      </w:tr>
      <w:tr w:rsidR="00F07F04" w:rsidRPr="00834480" w:rsidTr="00362443">
        <w:trPr>
          <w:trHeight w:val="406"/>
        </w:trPr>
        <w:tc>
          <w:tcPr>
            <w:tcW w:w="1667" w:type="pct"/>
            <w:vMerge/>
            <w:vAlign w:val="center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3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A34CDF">
        <w:trPr>
          <w:trHeight w:val="407"/>
        </w:trPr>
        <w:tc>
          <w:tcPr>
            <w:tcW w:w="1667" w:type="pct"/>
            <w:vMerge w:val="restart"/>
            <w:vAlign w:val="center"/>
          </w:tcPr>
          <w:p w:rsidR="00F07F04" w:rsidRPr="00834480" w:rsidRDefault="00F07F04" w:rsidP="00834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LDEQ will enter all warning letters and formal enforcement actions into ICIS for major, 92-500, and significant minor facilities within 30 working days from issuance of an enforcement action.  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FC3C80" w:rsidRPr="00834480" w:rsidRDefault="00FC3C80" w:rsidP="00EE4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F29">
              <w:rPr>
                <w:rFonts w:ascii="Times New Roman" w:hAnsi="Times New Roman" w:cs="Times New Roman"/>
                <w:sz w:val="20"/>
                <w:szCs w:val="20"/>
              </w:rPr>
              <w:t>A total of 1</w:t>
            </w:r>
            <w:r w:rsidR="00EE4F29" w:rsidRPr="00EE4F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4F29">
              <w:rPr>
                <w:rFonts w:ascii="Times New Roman" w:hAnsi="Times New Roman" w:cs="Times New Roman"/>
                <w:sz w:val="20"/>
                <w:szCs w:val="20"/>
              </w:rPr>
              <w:t>5 warning letters and formal actions were issued to the applicable facilities.  These actions were entered into ICIS within 30 days of the issuance date.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07F04" w:rsidRPr="00834480" w:rsidTr="005521AD">
        <w:trPr>
          <w:trHeight w:val="406"/>
        </w:trPr>
        <w:tc>
          <w:tcPr>
            <w:tcW w:w="1667" w:type="pct"/>
            <w:vMerge/>
            <w:vAlign w:val="center"/>
          </w:tcPr>
          <w:p w:rsidR="00F07F04" w:rsidRPr="00834480" w:rsidRDefault="00F07F04" w:rsidP="00834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9000A6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4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A34CDF">
        <w:tc>
          <w:tcPr>
            <w:tcW w:w="5000" w:type="pct"/>
            <w:gridSpan w:val="3"/>
          </w:tcPr>
          <w:p w:rsidR="00F07F04" w:rsidRPr="002E6585" w:rsidRDefault="00F07F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585">
              <w:rPr>
                <w:rFonts w:ascii="Times New Roman" w:hAnsi="Times New Roman" w:cs="Times New Roman"/>
                <w:b/>
                <w:sz w:val="20"/>
                <w:szCs w:val="20"/>
              </w:rPr>
              <w:t>Compliance Training</w:t>
            </w:r>
          </w:p>
        </w:tc>
      </w:tr>
      <w:tr w:rsidR="00F07F04" w:rsidRPr="00834480" w:rsidTr="000E35C6">
        <w:trPr>
          <w:trHeight w:val="207"/>
        </w:trPr>
        <w:tc>
          <w:tcPr>
            <w:tcW w:w="1667" w:type="pct"/>
            <w:vMerge w:val="restart"/>
          </w:tcPr>
          <w:p w:rsidR="00F07F04" w:rsidRPr="00834480" w:rsidRDefault="00F07F04" w:rsidP="000E35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ED will conduct </w:t>
            </w:r>
            <w:r w:rsidR="009B5EFA">
              <w:rPr>
                <w:sz w:val="20"/>
                <w:szCs w:val="20"/>
              </w:rPr>
              <w:t xml:space="preserve">a minimal of five (5) </w:t>
            </w:r>
            <w:r>
              <w:rPr>
                <w:sz w:val="20"/>
                <w:szCs w:val="20"/>
              </w:rPr>
              <w:t xml:space="preserve">Sanitary Assistance Wastewater Training (SWAT) </w:t>
            </w:r>
            <w:r w:rsidR="00A56497">
              <w:rPr>
                <w:sz w:val="20"/>
                <w:szCs w:val="20"/>
              </w:rPr>
              <w:t>sessions.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FC3C80" w:rsidRPr="00834480" w:rsidRDefault="005D6D5C" w:rsidP="00067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14A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06714A" w:rsidRPr="0006714A">
              <w:rPr>
                <w:rFonts w:ascii="Times New Roman" w:hAnsi="Times New Roman" w:cs="Times New Roman"/>
                <w:sz w:val="20"/>
                <w:szCs w:val="20"/>
              </w:rPr>
              <w:t xml:space="preserve">is commitment was met. Five </w:t>
            </w:r>
            <w:r w:rsidRPr="000671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6714A" w:rsidRPr="00067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71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C3C80" w:rsidRPr="0006714A">
              <w:rPr>
                <w:rFonts w:ascii="Times New Roman" w:hAnsi="Times New Roman" w:cs="Times New Roman"/>
                <w:sz w:val="20"/>
                <w:szCs w:val="20"/>
              </w:rPr>
              <w:t xml:space="preserve"> SWAT classes </w:t>
            </w:r>
            <w:r w:rsidR="0006714A" w:rsidRPr="0006714A">
              <w:rPr>
                <w:rFonts w:ascii="Times New Roman" w:hAnsi="Times New Roman" w:cs="Times New Roman"/>
                <w:sz w:val="20"/>
                <w:szCs w:val="20"/>
              </w:rPr>
              <w:t xml:space="preserve">were </w:t>
            </w:r>
            <w:r w:rsidR="00FC3C80" w:rsidRPr="0006714A">
              <w:rPr>
                <w:rFonts w:ascii="Times New Roman" w:hAnsi="Times New Roman" w:cs="Times New Roman"/>
                <w:sz w:val="20"/>
                <w:szCs w:val="20"/>
              </w:rPr>
              <w:t>conducted by the Department</w:t>
            </w:r>
            <w:r w:rsidR="0006714A" w:rsidRPr="0006714A">
              <w:rPr>
                <w:rFonts w:ascii="Times New Roman" w:hAnsi="Times New Roman" w:cs="Times New Roman"/>
                <w:sz w:val="20"/>
                <w:szCs w:val="20"/>
              </w:rPr>
              <w:t xml:space="preserve"> during this fiscal year</w:t>
            </w:r>
            <w:r w:rsidR="00FC3C80" w:rsidRPr="0006714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FC3C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07F04" w:rsidRPr="00834480" w:rsidTr="001F394E">
        <w:trPr>
          <w:trHeight w:val="206"/>
        </w:trPr>
        <w:tc>
          <w:tcPr>
            <w:tcW w:w="1667" w:type="pct"/>
            <w:vMerge/>
          </w:tcPr>
          <w:p w:rsidR="00F07F04" w:rsidRDefault="00F07F04" w:rsidP="000E3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5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0AB" w:rsidRDefault="002950AB">
      <w:r>
        <w:br w:type="page"/>
      </w:r>
    </w:p>
    <w:tbl>
      <w:tblPr>
        <w:tblStyle w:val="TableGrid"/>
        <w:tblW w:w="5000" w:type="pct"/>
        <w:tblLook w:val="04A0"/>
      </w:tblPr>
      <w:tblGrid>
        <w:gridCol w:w="4393"/>
        <w:gridCol w:w="4393"/>
        <w:gridCol w:w="4390"/>
      </w:tblGrid>
      <w:tr w:rsidR="00F07F04" w:rsidRPr="00834480" w:rsidTr="000E35C6">
        <w:trPr>
          <w:trHeight w:val="207"/>
        </w:trPr>
        <w:tc>
          <w:tcPr>
            <w:tcW w:w="1667" w:type="pct"/>
            <w:vMerge w:val="restart"/>
          </w:tcPr>
          <w:p w:rsidR="00F07F04" w:rsidRPr="00834480" w:rsidRDefault="00F07F04" w:rsidP="000E35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ED will conduct </w:t>
            </w:r>
            <w:r w:rsidR="009B5EFA">
              <w:rPr>
                <w:sz w:val="20"/>
                <w:szCs w:val="20"/>
              </w:rPr>
              <w:t xml:space="preserve">a minimal of twelve (12) </w:t>
            </w:r>
            <w:r>
              <w:rPr>
                <w:sz w:val="20"/>
                <w:szCs w:val="20"/>
              </w:rPr>
              <w:t>Underground Storage Tank training sessions</w:t>
            </w:r>
            <w:r w:rsidR="009000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FC3C80" w:rsidRPr="00834480" w:rsidRDefault="005D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commitment has been met.  </w:t>
            </w:r>
            <w:r w:rsidRPr="0006714A">
              <w:rPr>
                <w:rFonts w:ascii="Times New Roman" w:hAnsi="Times New Roman" w:cs="Times New Roman"/>
                <w:sz w:val="20"/>
                <w:szCs w:val="20"/>
              </w:rPr>
              <w:t>Twelve (</w:t>
            </w:r>
            <w:r w:rsidR="00FC3C80" w:rsidRPr="000671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671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C3C80">
              <w:rPr>
                <w:rFonts w:ascii="Times New Roman" w:hAnsi="Times New Roman" w:cs="Times New Roman"/>
                <w:sz w:val="20"/>
                <w:szCs w:val="20"/>
              </w:rPr>
              <w:t xml:space="preserve"> Underground Storage Tank training sessions were conducted by the Department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during this fiscal year</w:t>
            </w:r>
            <w:r w:rsidR="00FC3C80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F07F04" w:rsidRPr="00834480" w:rsidTr="001F394E">
        <w:trPr>
          <w:trHeight w:val="206"/>
        </w:trPr>
        <w:tc>
          <w:tcPr>
            <w:tcW w:w="1667" w:type="pct"/>
            <w:vMerge/>
          </w:tcPr>
          <w:p w:rsidR="00F07F04" w:rsidRDefault="00F07F04" w:rsidP="000E35C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Cheryl Easley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219-3713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6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Cheryl.Easley@la.gov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F04" w:rsidRPr="00834480" w:rsidTr="00C55CF2">
        <w:trPr>
          <w:trHeight w:val="207"/>
        </w:trPr>
        <w:tc>
          <w:tcPr>
            <w:tcW w:w="1667" w:type="pct"/>
            <w:vMerge w:val="restart"/>
          </w:tcPr>
          <w:p w:rsidR="00F07F04" w:rsidRPr="00834480" w:rsidRDefault="00F07F04" w:rsidP="009B5E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ED will conduct</w:t>
            </w:r>
            <w:r w:rsidR="009B5EFA">
              <w:rPr>
                <w:sz w:val="20"/>
                <w:szCs w:val="20"/>
              </w:rPr>
              <w:t xml:space="preserve"> a minimal of five (5) </w:t>
            </w:r>
            <w:r>
              <w:rPr>
                <w:sz w:val="20"/>
                <w:szCs w:val="20"/>
              </w:rPr>
              <w:t>NetDMR Online Reporting trainings</w:t>
            </w:r>
            <w:r w:rsidR="009000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67" w:type="pct"/>
          </w:tcPr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F07F04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FC3C80" w:rsidRPr="00834480" w:rsidRDefault="001E4BD2" w:rsidP="005D6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5D6D5C">
              <w:rPr>
                <w:rFonts w:ascii="Times New Roman" w:hAnsi="Times New Roman" w:cs="Times New Roman"/>
                <w:sz w:val="20"/>
                <w:szCs w:val="20"/>
              </w:rPr>
              <w:t xml:space="preserve">is commitment has been met.  </w:t>
            </w:r>
            <w:r w:rsidR="005D6D5C" w:rsidRPr="00EE4F29">
              <w:rPr>
                <w:rFonts w:ascii="Times New Roman" w:hAnsi="Times New Roman" w:cs="Times New Roman"/>
                <w:sz w:val="20"/>
                <w:szCs w:val="20"/>
              </w:rPr>
              <w:t xml:space="preserve">Five (5) </w:t>
            </w:r>
            <w:r w:rsidR="00FC3C80" w:rsidRPr="00EE4F29">
              <w:rPr>
                <w:rFonts w:ascii="Times New Roman" w:hAnsi="Times New Roman" w:cs="Times New Roman"/>
                <w:sz w:val="20"/>
                <w:szCs w:val="20"/>
              </w:rPr>
              <w:t>NetDMR</w:t>
            </w:r>
            <w:r w:rsidR="00FC3C80">
              <w:rPr>
                <w:rFonts w:ascii="Times New Roman" w:hAnsi="Times New Roman" w:cs="Times New Roman"/>
                <w:sz w:val="20"/>
                <w:szCs w:val="20"/>
              </w:rPr>
              <w:t xml:space="preserve"> training sessions were held this year.</w:t>
            </w:r>
          </w:p>
        </w:tc>
      </w:tr>
      <w:tr w:rsidR="00F07F04" w:rsidRPr="00834480" w:rsidTr="001F394E">
        <w:trPr>
          <w:trHeight w:val="206"/>
        </w:trPr>
        <w:tc>
          <w:tcPr>
            <w:tcW w:w="1667" w:type="pct"/>
            <w:vMerge/>
          </w:tcPr>
          <w:p w:rsidR="00F07F04" w:rsidRDefault="00F07F04" w:rsidP="00C55CF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F07F04" w:rsidRPr="00834480" w:rsidRDefault="009000A6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Tyler Ginn</w:t>
            </w:r>
          </w:p>
          <w:p w:rsidR="00F07F04" w:rsidRPr="00834480" w:rsidRDefault="00F07F04" w:rsidP="00F5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 xml:space="preserve">3931 </w:t>
            </w:r>
          </w:p>
          <w:p w:rsidR="00F07F04" w:rsidRPr="00834480" w:rsidRDefault="00F07F04" w:rsidP="0090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7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Tyler.Ginn@la.gov</w:t>
              </w:r>
            </w:hyperlink>
          </w:p>
        </w:tc>
        <w:tc>
          <w:tcPr>
            <w:tcW w:w="1666" w:type="pct"/>
            <w:vMerge/>
          </w:tcPr>
          <w:p w:rsidR="00F07F04" w:rsidRPr="00834480" w:rsidRDefault="00F07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B4" w:rsidRPr="00834480" w:rsidTr="002135B4">
        <w:trPr>
          <w:trHeight w:val="390"/>
        </w:trPr>
        <w:tc>
          <w:tcPr>
            <w:tcW w:w="1667" w:type="pct"/>
            <w:vMerge w:val="restart"/>
          </w:tcPr>
          <w:p w:rsidR="002135B4" w:rsidRPr="00834480" w:rsidRDefault="002135B4" w:rsidP="00A56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ED will continue to promote and assist municipalities to comply through the Municipal Sewage Assistance Program (MSAP)</w:t>
            </w:r>
            <w:r w:rsidR="00895C91">
              <w:rPr>
                <w:rFonts w:ascii="Times New Roman" w:hAnsi="Times New Roman" w:cs="Times New Roman"/>
                <w:sz w:val="20"/>
                <w:szCs w:val="20"/>
              </w:rPr>
              <w:t xml:space="preserve">; goal is to </w:t>
            </w:r>
            <w:r w:rsidR="00933436">
              <w:rPr>
                <w:rFonts w:ascii="Times New Roman" w:hAnsi="Times New Roman" w:cs="Times New Roman"/>
                <w:sz w:val="20"/>
                <w:szCs w:val="20"/>
              </w:rPr>
              <w:t xml:space="preserve">have </w:t>
            </w:r>
            <w:r w:rsidR="00895C91">
              <w:rPr>
                <w:rFonts w:ascii="Times New Roman" w:hAnsi="Times New Roman" w:cs="Times New Roman"/>
                <w:sz w:val="20"/>
                <w:szCs w:val="20"/>
              </w:rPr>
              <w:t>a minimal of twelve (12) municipalities</w:t>
            </w:r>
            <w:r w:rsidR="00A56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enrolled in MSAP this year.</w:t>
            </w:r>
          </w:p>
        </w:tc>
        <w:tc>
          <w:tcPr>
            <w:tcW w:w="1667" w:type="pct"/>
          </w:tcPr>
          <w:p w:rsidR="002135B4" w:rsidRPr="00834480" w:rsidRDefault="002135B4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2135B4" w:rsidRPr="005D6D5C" w:rsidRDefault="0021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D5C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FC3C80" w:rsidRPr="001E4BD2" w:rsidRDefault="001E4BD2" w:rsidP="00EE4F2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6D5C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5D6D5C">
              <w:rPr>
                <w:rFonts w:ascii="Times New Roman" w:hAnsi="Times New Roman" w:cs="Times New Roman"/>
                <w:sz w:val="20"/>
                <w:szCs w:val="20"/>
              </w:rPr>
              <w:t xml:space="preserve">is commitment has been met.  During this fiscal year, </w:t>
            </w:r>
            <w:r w:rsidRPr="005D6D5C">
              <w:rPr>
                <w:rFonts w:ascii="Times New Roman" w:hAnsi="Times New Roman" w:cs="Times New Roman"/>
                <w:sz w:val="20"/>
                <w:szCs w:val="20"/>
              </w:rPr>
              <w:t xml:space="preserve">ED staff visited </w:t>
            </w:r>
            <w:r w:rsidR="00EE4F29">
              <w:rPr>
                <w:rFonts w:ascii="Times New Roman" w:hAnsi="Times New Roman" w:cs="Times New Roman"/>
                <w:sz w:val="20"/>
                <w:szCs w:val="20"/>
              </w:rPr>
              <w:t xml:space="preserve">nineteen </w:t>
            </w:r>
            <w:r w:rsidR="005D6D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D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4F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6D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D6D5C">
              <w:rPr>
                <w:rFonts w:ascii="Times New Roman" w:hAnsi="Times New Roman" w:cs="Times New Roman"/>
                <w:sz w:val="20"/>
                <w:szCs w:val="20"/>
              </w:rPr>
              <w:t xml:space="preserve"> municipalities to promote the MSAP.  </w:t>
            </w:r>
            <w:r w:rsidR="009B35EE">
              <w:rPr>
                <w:rFonts w:ascii="Times New Roman" w:hAnsi="Times New Roman" w:cs="Times New Roman"/>
                <w:sz w:val="20"/>
                <w:szCs w:val="20"/>
              </w:rPr>
              <w:t xml:space="preserve">The ED either received compliance schedules from the visited municipalities to address violations from their Publicly Owned Treatment Work (POTW) or a commitment from the Municipalities to submit a schedule in the near future. </w:t>
            </w:r>
          </w:p>
        </w:tc>
      </w:tr>
      <w:tr w:rsidR="002135B4" w:rsidRPr="00834480" w:rsidTr="001F394E">
        <w:trPr>
          <w:trHeight w:val="389"/>
        </w:trPr>
        <w:tc>
          <w:tcPr>
            <w:tcW w:w="1667" w:type="pct"/>
            <w:vMerge/>
          </w:tcPr>
          <w:p w:rsidR="002135B4" w:rsidRDefault="00213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2135B4" w:rsidRDefault="002135B4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Wayne Slater</w:t>
            </w:r>
          </w:p>
          <w:p w:rsidR="002135B4" w:rsidRDefault="002135B4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  (225) 219</w:t>
            </w:r>
            <w:r w:rsidR="009000A6">
              <w:rPr>
                <w:rFonts w:ascii="Times New Roman" w:hAnsi="Times New Roman" w:cs="Times New Roman"/>
                <w:sz w:val="20"/>
                <w:szCs w:val="20"/>
              </w:rPr>
              <w:t>-3729</w:t>
            </w:r>
          </w:p>
          <w:p w:rsidR="002135B4" w:rsidRDefault="002135B4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8" w:history="1">
              <w:r w:rsidR="009000A6"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Wayne.Slater@la.gov</w:t>
              </w:r>
            </w:hyperlink>
          </w:p>
          <w:p w:rsidR="009000A6" w:rsidRDefault="009000A6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1E7EA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9000A6" w:rsidRDefault="009000A6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Joette Kenaley</w:t>
            </w:r>
          </w:p>
          <w:p w:rsidR="009000A6" w:rsidRDefault="009000A6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  (225) 219-3778</w:t>
            </w:r>
          </w:p>
          <w:p w:rsidR="009000A6" w:rsidRPr="00834480" w:rsidRDefault="009000A6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29" w:history="1">
              <w:r w:rsidRPr="00A6094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Joette.Kenaley@la.gov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vMerge/>
          </w:tcPr>
          <w:p w:rsidR="002135B4" w:rsidRPr="00834480" w:rsidRDefault="00213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5B4" w:rsidRPr="00834480" w:rsidTr="00F07F04">
        <w:tc>
          <w:tcPr>
            <w:tcW w:w="5000" w:type="pct"/>
            <w:gridSpan w:val="3"/>
          </w:tcPr>
          <w:p w:rsidR="002135B4" w:rsidRPr="002E6585" w:rsidRDefault="002135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585">
              <w:rPr>
                <w:rFonts w:ascii="Times New Roman" w:hAnsi="Times New Roman" w:cs="Times New Roman"/>
                <w:b/>
                <w:sz w:val="20"/>
                <w:szCs w:val="20"/>
              </w:rPr>
              <w:t>Regional Enforcement Actions</w:t>
            </w:r>
          </w:p>
        </w:tc>
      </w:tr>
      <w:tr w:rsidR="002135B4" w:rsidRPr="00834480" w:rsidTr="002135B4">
        <w:trPr>
          <w:trHeight w:val="263"/>
        </w:trPr>
        <w:tc>
          <w:tcPr>
            <w:tcW w:w="1667" w:type="pct"/>
            <w:vMerge w:val="restart"/>
          </w:tcPr>
          <w:p w:rsidR="002135B4" w:rsidRPr="00834480" w:rsidRDefault="002135B4" w:rsidP="007C65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ED will implement the Regional Enforcement Actions Policy </w:t>
            </w:r>
          </w:p>
        </w:tc>
        <w:tc>
          <w:tcPr>
            <w:tcW w:w="1667" w:type="pct"/>
          </w:tcPr>
          <w:p w:rsidR="002135B4" w:rsidRPr="00834480" w:rsidRDefault="002135B4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2135B4" w:rsidRDefault="0021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933436" w:rsidRPr="00834480" w:rsidRDefault="00933436" w:rsidP="00EE4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Regional </w:t>
            </w:r>
            <w:r w:rsidR="005D6D5C">
              <w:rPr>
                <w:rFonts w:ascii="Times New Roman" w:hAnsi="Times New Roman" w:cs="Times New Roman"/>
                <w:sz w:val="20"/>
                <w:szCs w:val="20"/>
              </w:rPr>
              <w:t xml:space="preserve">Compliance Orders were created during this fiscal year.  </w:t>
            </w:r>
            <w:r w:rsidR="00A218D4">
              <w:rPr>
                <w:rFonts w:ascii="Times New Roman" w:hAnsi="Times New Roman" w:cs="Times New Roman"/>
                <w:sz w:val="20"/>
                <w:szCs w:val="20"/>
              </w:rPr>
              <w:t xml:space="preserve">Procedures and guidelines to implement the Regional Enforcement Actions Policy and issue the associated RCOs are been finalized. It is anticipated the policy will be fully implemented </w:t>
            </w:r>
            <w:r w:rsidR="00EE4F29">
              <w:rPr>
                <w:rFonts w:ascii="Times New Roman" w:hAnsi="Times New Roman" w:cs="Times New Roman"/>
                <w:sz w:val="20"/>
                <w:szCs w:val="20"/>
              </w:rPr>
              <w:t>during the second (2</w:t>
            </w:r>
            <w:r w:rsidR="00EE4F29" w:rsidRPr="00EE4F2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EE4F29">
              <w:rPr>
                <w:rFonts w:ascii="Times New Roman" w:hAnsi="Times New Roman" w:cs="Times New Roman"/>
                <w:sz w:val="20"/>
                <w:szCs w:val="20"/>
              </w:rPr>
              <w:t>) quarter of 2012-2013 fiscal year.</w:t>
            </w:r>
          </w:p>
        </w:tc>
      </w:tr>
      <w:tr w:rsidR="002135B4" w:rsidRPr="00834480" w:rsidTr="00143D79">
        <w:trPr>
          <w:trHeight w:val="262"/>
        </w:trPr>
        <w:tc>
          <w:tcPr>
            <w:tcW w:w="1667" w:type="pct"/>
            <w:vMerge/>
          </w:tcPr>
          <w:p w:rsidR="002135B4" w:rsidRDefault="002135B4" w:rsidP="007C65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2135B4" w:rsidRPr="00834480" w:rsidRDefault="002135B4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Celena J. Cage</w:t>
            </w:r>
          </w:p>
          <w:p w:rsidR="002135B4" w:rsidRPr="00834480" w:rsidRDefault="002135B4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219-3712</w:t>
            </w:r>
          </w:p>
          <w:p w:rsidR="002135B4" w:rsidRDefault="002135B4" w:rsidP="007C65C7"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30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Celena.Cage@la.gov</w:t>
              </w:r>
            </w:hyperlink>
          </w:p>
          <w:p w:rsidR="002135B4" w:rsidRPr="002135B4" w:rsidRDefault="002135B4" w:rsidP="00213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135B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2135B4" w:rsidRPr="009000A6" w:rsidRDefault="002135B4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A6">
              <w:rPr>
                <w:rFonts w:ascii="Times New Roman" w:hAnsi="Times New Roman" w:cs="Times New Roman"/>
                <w:sz w:val="20"/>
                <w:szCs w:val="20"/>
              </w:rPr>
              <w:t>Kilren Vidrine</w:t>
            </w:r>
          </w:p>
          <w:p w:rsidR="002135B4" w:rsidRPr="009000A6" w:rsidRDefault="002135B4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A6">
              <w:rPr>
                <w:rFonts w:ascii="Times New Roman" w:hAnsi="Times New Roman" w:cs="Times New Roman"/>
                <w:sz w:val="20"/>
                <w:szCs w:val="20"/>
              </w:rPr>
              <w:t>P:  (225) 219-3507</w:t>
            </w:r>
          </w:p>
          <w:p w:rsidR="002135B4" w:rsidRPr="00834480" w:rsidRDefault="002135B4" w:rsidP="0031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A6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31" w:history="1">
              <w:r w:rsidRPr="009000A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Kilren.Vidrine@la.gov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vMerge/>
          </w:tcPr>
          <w:p w:rsidR="002135B4" w:rsidRPr="00834480" w:rsidRDefault="00213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35B4" w:rsidRDefault="002135B4">
      <w:r>
        <w:br w:type="page"/>
      </w:r>
    </w:p>
    <w:tbl>
      <w:tblPr>
        <w:tblStyle w:val="TableGrid"/>
        <w:tblW w:w="5000" w:type="pct"/>
        <w:tblLook w:val="04A0"/>
      </w:tblPr>
      <w:tblGrid>
        <w:gridCol w:w="4393"/>
        <w:gridCol w:w="4393"/>
        <w:gridCol w:w="4390"/>
      </w:tblGrid>
      <w:tr w:rsidR="00DE1DC7" w:rsidRPr="00834480" w:rsidTr="00DE1DC7">
        <w:trPr>
          <w:trHeight w:val="207"/>
        </w:trPr>
        <w:tc>
          <w:tcPr>
            <w:tcW w:w="5000" w:type="pct"/>
            <w:gridSpan w:val="3"/>
          </w:tcPr>
          <w:p w:rsidR="00DE1DC7" w:rsidRPr="002950AB" w:rsidRDefault="00D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AB">
              <w:rPr>
                <w:rFonts w:ascii="Times New Roman" w:hAnsi="Times New Roman" w:cs="Times New Roman"/>
                <w:b/>
                <w:sz w:val="20"/>
                <w:szCs w:val="20"/>
              </w:rPr>
              <w:t>General Compliance Orders</w:t>
            </w:r>
          </w:p>
        </w:tc>
      </w:tr>
      <w:tr w:rsidR="00DE1DC7" w:rsidRPr="00834480" w:rsidTr="00143D79">
        <w:trPr>
          <w:trHeight w:val="207"/>
        </w:trPr>
        <w:tc>
          <w:tcPr>
            <w:tcW w:w="1667" w:type="pct"/>
            <w:vMerge w:val="restart"/>
          </w:tcPr>
          <w:p w:rsidR="00DE1DC7" w:rsidRPr="00834480" w:rsidRDefault="00DE1DC7" w:rsidP="002135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ED will </w:t>
            </w:r>
            <w:r w:rsidR="00313D94">
              <w:rPr>
                <w:sz w:val="20"/>
                <w:szCs w:val="20"/>
              </w:rPr>
              <w:t xml:space="preserve">review the feasibility of </w:t>
            </w:r>
            <w:r>
              <w:rPr>
                <w:sz w:val="20"/>
                <w:szCs w:val="20"/>
              </w:rPr>
              <w:t>develop</w:t>
            </w:r>
            <w:r w:rsidR="00313D94">
              <w:rPr>
                <w:sz w:val="20"/>
                <w:szCs w:val="20"/>
              </w:rPr>
              <w:t xml:space="preserve">ing </w:t>
            </w:r>
            <w:r>
              <w:rPr>
                <w:sz w:val="20"/>
                <w:szCs w:val="20"/>
              </w:rPr>
              <w:t xml:space="preserve"> General Compliance Orders to coincide with selected General Permits</w:t>
            </w:r>
          </w:p>
        </w:tc>
        <w:tc>
          <w:tcPr>
            <w:tcW w:w="1667" w:type="pct"/>
          </w:tcPr>
          <w:p w:rsidR="00DE1DC7" w:rsidRPr="00834480" w:rsidRDefault="00DE1DC7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DE1DC7" w:rsidRDefault="00DE1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933436" w:rsidRPr="00834480" w:rsidRDefault="00A218D4" w:rsidP="00A21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ED has reviewed/discussed the feasibility of developing General Compliance Orders to coincide with some of the LPDES General Permits.  Further discussions will occur during fiscal year 2012-2013.  If and where it is determined that developing and issuing General Compliance Orders is a more feasible and efficient </w:t>
            </w:r>
            <w:r w:rsidR="00933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method than the current enforcement method, the appropriate General Compliance Orders will be developed during fiscal year 2012-2013.  </w:t>
            </w:r>
          </w:p>
        </w:tc>
      </w:tr>
      <w:tr w:rsidR="00DE1DC7" w:rsidRPr="00834480" w:rsidTr="001F394E">
        <w:trPr>
          <w:trHeight w:val="206"/>
        </w:trPr>
        <w:tc>
          <w:tcPr>
            <w:tcW w:w="1667" w:type="pct"/>
            <w:vMerge/>
          </w:tcPr>
          <w:p w:rsidR="00DE1DC7" w:rsidRDefault="00DE1DC7" w:rsidP="004D091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DE1DC7" w:rsidRPr="00834480" w:rsidRDefault="00DE1DC7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Celena J. Cage</w:t>
            </w:r>
          </w:p>
          <w:p w:rsidR="00DE1DC7" w:rsidRPr="00834480" w:rsidRDefault="00DE1DC7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219-3712</w:t>
            </w:r>
          </w:p>
          <w:p w:rsidR="00DE1DC7" w:rsidRDefault="00DE1DC7" w:rsidP="007C65C7"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32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Celena.Cage@la.gov</w:t>
              </w:r>
            </w:hyperlink>
          </w:p>
          <w:p w:rsidR="00DE1DC7" w:rsidRPr="002135B4" w:rsidRDefault="00DE1DC7" w:rsidP="007C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135B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DE1DC7" w:rsidRPr="002950AB" w:rsidRDefault="00DE1DC7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AB">
              <w:rPr>
                <w:rFonts w:ascii="Times New Roman" w:hAnsi="Times New Roman" w:cs="Times New Roman"/>
                <w:sz w:val="20"/>
                <w:szCs w:val="20"/>
              </w:rPr>
              <w:t>Naz Zanjani-Bachar</w:t>
            </w:r>
          </w:p>
          <w:p w:rsidR="00DE1DC7" w:rsidRPr="002950AB" w:rsidRDefault="00DE1DC7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AB">
              <w:rPr>
                <w:rFonts w:ascii="Times New Roman" w:hAnsi="Times New Roman" w:cs="Times New Roman"/>
                <w:sz w:val="20"/>
                <w:szCs w:val="20"/>
              </w:rPr>
              <w:t>P:  (225) 219-3722</w:t>
            </w:r>
          </w:p>
          <w:p w:rsidR="00DE1DC7" w:rsidRPr="00834480" w:rsidRDefault="00DE1DC7" w:rsidP="0031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0AB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33" w:history="1">
              <w:r w:rsidRPr="002950A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Naz.Zanjani-Bachar@la.gov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6" w:type="pct"/>
            <w:vMerge/>
          </w:tcPr>
          <w:p w:rsidR="00DE1DC7" w:rsidRPr="00834480" w:rsidRDefault="00DE1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DC7" w:rsidRPr="00834480" w:rsidTr="00C55CF2">
        <w:tc>
          <w:tcPr>
            <w:tcW w:w="5000" w:type="pct"/>
            <w:gridSpan w:val="3"/>
          </w:tcPr>
          <w:p w:rsidR="00DE1DC7" w:rsidRPr="002E6585" w:rsidRDefault="00DE1D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585">
              <w:rPr>
                <w:rFonts w:ascii="Times New Roman" w:hAnsi="Times New Roman" w:cs="Times New Roman"/>
                <w:b/>
                <w:sz w:val="20"/>
                <w:szCs w:val="20"/>
              </w:rPr>
              <w:t>Regulation Development</w:t>
            </w:r>
          </w:p>
        </w:tc>
      </w:tr>
      <w:tr w:rsidR="00B56E2E" w:rsidRPr="00834480" w:rsidTr="00143D79">
        <w:trPr>
          <w:trHeight w:val="207"/>
        </w:trPr>
        <w:tc>
          <w:tcPr>
            <w:tcW w:w="1667" w:type="pct"/>
            <w:vMerge w:val="restart"/>
          </w:tcPr>
          <w:p w:rsidR="00B56E2E" w:rsidRPr="00834480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ED will modify the Expedited Penalty regulations to include additional violations</w:t>
            </w:r>
          </w:p>
        </w:tc>
        <w:tc>
          <w:tcPr>
            <w:tcW w:w="1667" w:type="pct"/>
          </w:tcPr>
          <w:p w:rsidR="00B56E2E" w:rsidRPr="00834480" w:rsidRDefault="00B56E2E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B56E2E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933436" w:rsidRPr="00834480" w:rsidRDefault="00A218D4" w:rsidP="006B1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Proposed r</w:t>
            </w:r>
            <w:r w:rsidR="00933436">
              <w:rPr>
                <w:rFonts w:ascii="Times New Roman" w:hAnsi="Times New Roman" w:cs="Times New Roman"/>
                <w:sz w:val="20"/>
                <w:szCs w:val="20"/>
              </w:rPr>
              <w:t xml:space="preserve">evisions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incorporate additional violations into </w:t>
            </w:r>
            <w:r w:rsidR="00933436">
              <w:rPr>
                <w:rFonts w:ascii="Times New Roman" w:hAnsi="Times New Roman" w:cs="Times New Roman"/>
                <w:sz w:val="20"/>
                <w:szCs w:val="20"/>
              </w:rPr>
              <w:t xml:space="preserve">the Expedited Penalty regulations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were developed during this fiscal year.  The proposed revisions are currently under review and it is anticipated </w:t>
            </w:r>
            <w:r w:rsidR="000D20A6">
              <w:rPr>
                <w:rFonts w:ascii="Times New Roman" w:hAnsi="Times New Roman" w:cs="Times New Roman"/>
                <w:sz w:val="20"/>
                <w:szCs w:val="20"/>
              </w:rPr>
              <w:t>that accepted and/or approved change</w:t>
            </w:r>
            <w:r w:rsidR="006B13A3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0D20A6">
              <w:rPr>
                <w:rFonts w:ascii="Times New Roman" w:hAnsi="Times New Roman" w:cs="Times New Roman"/>
                <w:sz w:val="20"/>
                <w:szCs w:val="20"/>
              </w:rPr>
              <w:t>will be incorporated into the regulations during fiscal year 2012-2013.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6E2E" w:rsidRPr="00834480" w:rsidTr="001F394E">
        <w:trPr>
          <w:trHeight w:val="206"/>
        </w:trPr>
        <w:tc>
          <w:tcPr>
            <w:tcW w:w="1667" w:type="pct"/>
            <w:vMerge/>
          </w:tcPr>
          <w:p w:rsidR="00B56E2E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B56E2E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Craig Easley</w:t>
            </w:r>
          </w:p>
          <w:p w:rsidR="00B56E2E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P:  (225) 219-3735</w:t>
            </w:r>
          </w:p>
          <w:p w:rsidR="00B56E2E" w:rsidRPr="00834480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E:  Craig.Easley@la.gov</w:t>
            </w:r>
          </w:p>
        </w:tc>
        <w:tc>
          <w:tcPr>
            <w:tcW w:w="1666" w:type="pct"/>
            <w:vMerge/>
          </w:tcPr>
          <w:p w:rsidR="00B56E2E" w:rsidRPr="00834480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E2E" w:rsidRPr="00834480" w:rsidTr="00F07F04">
        <w:trPr>
          <w:trHeight w:val="100"/>
        </w:trPr>
        <w:tc>
          <w:tcPr>
            <w:tcW w:w="5000" w:type="pct"/>
            <w:gridSpan w:val="3"/>
          </w:tcPr>
          <w:p w:rsidR="00B56E2E" w:rsidRPr="002E6585" w:rsidRDefault="000A6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Standard Operating Procedures</w:t>
            </w:r>
          </w:p>
        </w:tc>
      </w:tr>
      <w:tr w:rsidR="00B56E2E" w:rsidRPr="00834480" w:rsidTr="00143D79">
        <w:trPr>
          <w:trHeight w:val="100"/>
        </w:trPr>
        <w:tc>
          <w:tcPr>
            <w:tcW w:w="1667" w:type="pct"/>
            <w:vMerge w:val="restart"/>
          </w:tcPr>
          <w:p w:rsidR="00B56E2E" w:rsidRPr="00834480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ED will review and update all SOPs, at least biennially, post timely, and draft SOPs for processes where SOPs don’t currently exist. </w:t>
            </w:r>
          </w:p>
        </w:tc>
        <w:tc>
          <w:tcPr>
            <w:tcW w:w="1667" w:type="pct"/>
          </w:tcPr>
          <w:p w:rsidR="00B56E2E" w:rsidRPr="00834480" w:rsidRDefault="00B56E2E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For more information on this project, please contact:</w:t>
            </w:r>
          </w:p>
        </w:tc>
        <w:tc>
          <w:tcPr>
            <w:tcW w:w="1666" w:type="pct"/>
            <w:vMerge w:val="restart"/>
          </w:tcPr>
          <w:p w:rsidR="00B56E2E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Status/Updates:</w:t>
            </w:r>
          </w:p>
          <w:p w:rsidR="004A6631" w:rsidRPr="00834480" w:rsidRDefault="004A6631" w:rsidP="000D2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</w:t>
            </w:r>
            <w:r w:rsidR="000D20A6">
              <w:rPr>
                <w:rFonts w:ascii="Times New Roman" w:hAnsi="Times New Roman" w:cs="Times New Roman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SOPs </w:t>
            </w:r>
            <w:r w:rsidR="000D20A6">
              <w:rPr>
                <w:rFonts w:ascii="Times New Roman" w:hAnsi="Times New Roman" w:cs="Times New Roman"/>
                <w:sz w:val="20"/>
                <w:szCs w:val="20"/>
              </w:rPr>
              <w:t>were rev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iewed </w:t>
            </w:r>
            <w:r w:rsidR="000D20A6">
              <w:rPr>
                <w:rFonts w:ascii="Times New Roman" w:hAnsi="Times New Roman" w:cs="Times New Roman"/>
                <w:sz w:val="20"/>
                <w:szCs w:val="20"/>
              </w:rPr>
              <w:t xml:space="preserve">during this fiscal year and the applicable SOPs are currently being updated.  It is anticipated that updates to the SOPs will be completed and posted during the 2012-2013 fiscal year.  Also and when the evaluation and trial period is complete for new processes, the applicable SOPs will be developed.  </w:t>
            </w:r>
          </w:p>
        </w:tc>
      </w:tr>
      <w:tr w:rsidR="00B56E2E" w:rsidRPr="00834480" w:rsidTr="001F394E">
        <w:trPr>
          <w:trHeight w:val="100"/>
        </w:trPr>
        <w:tc>
          <w:tcPr>
            <w:tcW w:w="1667" w:type="pct"/>
            <w:vMerge/>
          </w:tcPr>
          <w:p w:rsidR="00B56E2E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</w:tcPr>
          <w:p w:rsidR="00B56E2E" w:rsidRPr="00834480" w:rsidRDefault="00B56E2E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Celena J. Cage</w:t>
            </w:r>
          </w:p>
          <w:p w:rsidR="00B56E2E" w:rsidRPr="00834480" w:rsidRDefault="00B56E2E" w:rsidP="007C6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>P:  (225) 219-3712</w:t>
            </w:r>
          </w:p>
          <w:p w:rsidR="00B56E2E" w:rsidRPr="00834480" w:rsidRDefault="00B56E2E" w:rsidP="00313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80">
              <w:rPr>
                <w:rFonts w:ascii="Times New Roman" w:hAnsi="Times New Roman" w:cs="Times New Roman"/>
                <w:sz w:val="20"/>
                <w:szCs w:val="20"/>
              </w:rPr>
              <w:t xml:space="preserve">E:  </w:t>
            </w:r>
            <w:hyperlink r:id="rId34" w:history="1">
              <w:r w:rsidRPr="0083448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Celena.Cage@la.gov</w:t>
              </w:r>
            </w:hyperlink>
          </w:p>
        </w:tc>
        <w:tc>
          <w:tcPr>
            <w:tcW w:w="1666" w:type="pct"/>
            <w:vMerge/>
          </w:tcPr>
          <w:p w:rsidR="00B56E2E" w:rsidRPr="00834480" w:rsidRDefault="00B56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DD0" w:rsidRPr="00834480" w:rsidRDefault="00BF1DD0">
      <w:pPr>
        <w:rPr>
          <w:rFonts w:ascii="Times New Roman" w:hAnsi="Times New Roman" w:cs="Times New Roman"/>
          <w:sz w:val="20"/>
          <w:szCs w:val="20"/>
        </w:rPr>
      </w:pPr>
    </w:p>
    <w:sectPr w:rsidR="00BF1DD0" w:rsidRPr="00834480" w:rsidSect="006E0A3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1364"/>
    <w:rsid w:val="0005029C"/>
    <w:rsid w:val="000504BA"/>
    <w:rsid w:val="0006714A"/>
    <w:rsid w:val="000A644E"/>
    <w:rsid w:val="000D20A6"/>
    <w:rsid w:val="000E35C6"/>
    <w:rsid w:val="000E5E4D"/>
    <w:rsid w:val="00143D79"/>
    <w:rsid w:val="001C61A0"/>
    <w:rsid w:val="001E4BD2"/>
    <w:rsid w:val="001E7EA4"/>
    <w:rsid w:val="001F394E"/>
    <w:rsid w:val="002135B4"/>
    <w:rsid w:val="002400B1"/>
    <w:rsid w:val="00277DFF"/>
    <w:rsid w:val="00293F44"/>
    <w:rsid w:val="002950AB"/>
    <w:rsid w:val="002A7C45"/>
    <w:rsid w:val="002E6585"/>
    <w:rsid w:val="00311E0B"/>
    <w:rsid w:val="00313D94"/>
    <w:rsid w:val="00357475"/>
    <w:rsid w:val="00377D03"/>
    <w:rsid w:val="003E526D"/>
    <w:rsid w:val="004616BC"/>
    <w:rsid w:val="004A6631"/>
    <w:rsid w:val="004D091A"/>
    <w:rsid w:val="004D10F0"/>
    <w:rsid w:val="005D6D5C"/>
    <w:rsid w:val="006B13A3"/>
    <w:rsid w:val="006C34A1"/>
    <w:rsid w:val="006E0A3C"/>
    <w:rsid w:val="00775C23"/>
    <w:rsid w:val="00777A1E"/>
    <w:rsid w:val="00787C36"/>
    <w:rsid w:val="007C3D1C"/>
    <w:rsid w:val="007E5BFE"/>
    <w:rsid w:val="008004BD"/>
    <w:rsid w:val="008142A3"/>
    <w:rsid w:val="00824AC9"/>
    <w:rsid w:val="00834480"/>
    <w:rsid w:val="00895C91"/>
    <w:rsid w:val="008E2D1F"/>
    <w:rsid w:val="009000A6"/>
    <w:rsid w:val="00911364"/>
    <w:rsid w:val="00913221"/>
    <w:rsid w:val="00933436"/>
    <w:rsid w:val="009772B7"/>
    <w:rsid w:val="00984CEB"/>
    <w:rsid w:val="009B35EE"/>
    <w:rsid w:val="009B5BF9"/>
    <w:rsid w:val="009B5EFA"/>
    <w:rsid w:val="009B65A5"/>
    <w:rsid w:val="009E36E0"/>
    <w:rsid w:val="00A218D4"/>
    <w:rsid w:val="00A34CDF"/>
    <w:rsid w:val="00A56497"/>
    <w:rsid w:val="00AB040C"/>
    <w:rsid w:val="00AB23F4"/>
    <w:rsid w:val="00AE52E9"/>
    <w:rsid w:val="00B27C3E"/>
    <w:rsid w:val="00B56E2E"/>
    <w:rsid w:val="00B85EDA"/>
    <w:rsid w:val="00BF1DD0"/>
    <w:rsid w:val="00C12203"/>
    <w:rsid w:val="00C55CF2"/>
    <w:rsid w:val="00C60F14"/>
    <w:rsid w:val="00CB29D6"/>
    <w:rsid w:val="00D26F57"/>
    <w:rsid w:val="00DE1DC7"/>
    <w:rsid w:val="00EA6988"/>
    <w:rsid w:val="00EE4F29"/>
    <w:rsid w:val="00EF64C2"/>
    <w:rsid w:val="00F07F04"/>
    <w:rsid w:val="00FC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3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29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4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4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ena.Cage@la.gov" TargetMode="External"/><Relationship Id="rId13" Type="http://schemas.openxmlformats.org/officeDocument/2006/relationships/hyperlink" Target="mailto:Richard.Ober@la.gov" TargetMode="External"/><Relationship Id="rId18" Type="http://schemas.openxmlformats.org/officeDocument/2006/relationships/hyperlink" Target="mailto:Tyler.Ginn@la.gov" TargetMode="External"/><Relationship Id="rId26" Type="http://schemas.openxmlformats.org/officeDocument/2006/relationships/hyperlink" Target="mailto:Cheryl.Easley@l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yler.Ginn@la.gov" TargetMode="External"/><Relationship Id="rId34" Type="http://schemas.openxmlformats.org/officeDocument/2006/relationships/hyperlink" Target="mailto:Celena.Cage@la.gov" TargetMode="External"/><Relationship Id="rId7" Type="http://schemas.openxmlformats.org/officeDocument/2006/relationships/hyperlink" Target="mailto:Celena.Cage@la.gov" TargetMode="External"/><Relationship Id="rId12" Type="http://schemas.openxmlformats.org/officeDocument/2006/relationships/hyperlink" Target="mailto:Leigh.Gauthreaux@la.gov" TargetMode="External"/><Relationship Id="rId17" Type="http://schemas.openxmlformats.org/officeDocument/2006/relationships/hyperlink" Target="mailto:Tyler.Ginn@la.gov" TargetMode="External"/><Relationship Id="rId25" Type="http://schemas.openxmlformats.org/officeDocument/2006/relationships/hyperlink" Target="mailto:Tyler.Ginn@la.gov" TargetMode="External"/><Relationship Id="rId33" Type="http://schemas.openxmlformats.org/officeDocument/2006/relationships/hyperlink" Target="mailto:Naz.Zanjani-Bachar@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Tyler.Ginn@la.gov" TargetMode="External"/><Relationship Id="rId20" Type="http://schemas.openxmlformats.org/officeDocument/2006/relationships/hyperlink" Target="mailto:Tyler.Ginn@la.gov" TargetMode="External"/><Relationship Id="rId29" Type="http://schemas.openxmlformats.org/officeDocument/2006/relationships/hyperlink" Target="mailto:Joette.Kenaley@la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heryl.Easley@la.gov" TargetMode="External"/><Relationship Id="rId11" Type="http://schemas.openxmlformats.org/officeDocument/2006/relationships/hyperlink" Target="mailto:Misty.Huffman@la.gov" TargetMode="External"/><Relationship Id="rId24" Type="http://schemas.openxmlformats.org/officeDocument/2006/relationships/hyperlink" Target="mailto:Tyler.Ginn@la.gov" TargetMode="External"/><Relationship Id="rId32" Type="http://schemas.openxmlformats.org/officeDocument/2006/relationships/hyperlink" Target="mailto:Celena.Cage@la.gov" TargetMode="External"/><Relationship Id="rId5" Type="http://schemas.openxmlformats.org/officeDocument/2006/relationships/hyperlink" Target="mailto:Celena.Cage@la.gov" TargetMode="External"/><Relationship Id="rId15" Type="http://schemas.openxmlformats.org/officeDocument/2006/relationships/hyperlink" Target="mailto:Tyler.Ginn@la.gov" TargetMode="External"/><Relationship Id="rId23" Type="http://schemas.openxmlformats.org/officeDocument/2006/relationships/hyperlink" Target="mailto:Tyler.Ginn@la.gov" TargetMode="External"/><Relationship Id="rId28" Type="http://schemas.openxmlformats.org/officeDocument/2006/relationships/hyperlink" Target="mailto:Wayne.Slater@la.gov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Leigh.Gauthreaux@la.gov" TargetMode="External"/><Relationship Id="rId19" Type="http://schemas.openxmlformats.org/officeDocument/2006/relationships/hyperlink" Target="mailto:Tyler.Ginn@la.gov" TargetMode="External"/><Relationship Id="rId31" Type="http://schemas.openxmlformats.org/officeDocument/2006/relationships/hyperlink" Target="mailto:Kilren.Vidrine@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gh.Gauthreaux@la.gov" TargetMode="External"/><Relationship Id="rId14" Type="http://schemas.openxmlformats.org/officeDocument/2006/relationships/hyperlink" Target="mailto:Cheryl.Easley@la.gov" TargetMode="External"/><Relationship Id="rId22" Type="http://schemas.openxmlformats.org/officeDocument/2006/relationships/hyperlink" Target="mailto:Tyler.Ginn@la.gov" TargetMode="External"/><Relationship Id="rId27" Type="http://schemas.openxmlformats.org/officeDocument/2006/relationships/hyperlink" Target="mailto:Tyler.Ginn@la.gov" TargetMode="External"/><Relationship Id="rId30" Type="http://schemas.openxmlformats.org/officeDocument/2006/relationships/hyperlink" Target="mailto:Celena.Cage@la.gov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9AFC-75DE-41D4-9790-64EE052D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LDEQ</dc:creator>
  <cp:keywords/>
  <dc:description/>
  <cp:lastModifiedBy>LDEQ</cp:lastModifiedBy>
  <cp:revision>3</cp:revision>
  <cp:lastPrinted>2012-06-15T15:13:00Z</cp:lastPrinted>
  <dcterms:created xsi:type="dcterms:W3CDTF">2012-10-18T13:10:00Z</dcterms:created>
  <dcterms:modified xsi:type="dcterms:W3CDTF">2012-10-18T13:24:00Z</dcterms:modified>
</cp:coreProperties>
</file>