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CC" w:rsidRPr="00066EAA" w:rsidRDefault="00EF6CCC" w:rsidP="00EF6CCC">
      <w:pPr>
        <w:pStyle w:val="TOCPart"/>
        <w:spacing w:before="0" w:after="0"/>
        <w:rPr>
          <w:color w:val="000000"/>
          <w:szCs w:val="28"/>
        </w:rPr>
      </w:pPr>
      <w:bookmarkStart w:id="0" w:name="_GoBack"/>
      <w:bookmarkEnd w:id="0"/>
      <w:r w:rsidRPr="00066EAA">
        <w:rPr>
          <w:color w:val="000000"/>
          <w:szCs w:val="28"/>
        </w:rPr>
        <w:t>Title 33</w:t>
      </w:r>
    </w:p>
    <w:p w:rsidR="00EF6CCC" w:rsidRPr="00066EAA" w:rsidRDefault="00EF6CCC" w:rsidP="00EF6CCC">
      <w:pPr>
        <w:pStyle w:val="Part"/>
        <w:spacing w:after="0"/>
        <w:rPr>
          <w:color w:val="000000"/>
          <w:szCs w:val="28"/>
        </w:rPr>
      </w:pPr>
      <w:r w:rsidRPr="00066EAA">
        <w:rPr>
          <w:color w:val="000000"/>
          <w:szCs w:val="28"/>
        </w:rPr>
        <w:t>ENVIRONMENTAL QUALITY</w:t>
      </w:r>
    </w:p>
    <w:p w:rsidR="00EF6CCC" w:rsidRPr="00066EAA"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EF6CCC"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4"/>
          <w:szCs w:val="24"/>
        </w:rPr>
      </w:pPr>
    </w:p>
    <w:p w:rsidR="00EF6CCC" w:rsidRPr="00066EAA" w:rsidRDefault="00EF6CCC" w:rsidP="00EF6CCC">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1" w:name="TOC_Chap2"/>
      <w:proofErr w:type="gramStart"/>
      <w:r w:rsidRPr="00066EAA">
        <w:rPr>
          <w:sz w:val="24"/>
          <w:szCs w:val="24"/>
        </w:rPr>
        <w:t xml:space="preserve">Chapter </w:t>
      </w:r>
      <w:r>
        <w:rPr>
          <w:sz w:val="24"/>
          <w:szCs w:val="24"/>
        </w:rPr>
        <w:t>5</w:t>
      </w:r>
      <w:r w:rsidRPr="00066EAA">
        <w:rPr>
          <w:sz w:val="24"/>
          <w:szCs w:val="24"/>
        </w:rPr>
        <w:t>.</w:t>
      </w:r>
      <w:bookmarkEnd w:id="1"/>
      <w:proofErr w:type="gramEnd"/>
      <w:r>
        <w:rPr>
          <w:sz w:val="24"/>
          <w:szCs w:val="24"/>
        </w:rPr>
        <w:t xml:space="preserve">  Permit Procedures</w:t>
      </w:r>
    </w:p>
    <w:p w:rsidR="00EF6CCC"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F6CCC" w:rsidRPr="00B87D4F"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B87D4F">
        <w:rPr>
          <w:sz w:val="24"/>
          <w:szCs w:val="24"/>
        </w:rPr>
        <w:t>§502.  Definitions</w:t>
      </w:r>
    </w:p>
    <w:p w:rsidR="00EF6CCC" w:rsidRPr="00B87D4F" w:rsidRDefault="00EF6CCC" w:rsidP="00EF6CCC">
      <w:pPr>
        <w:pStyle w:val="i"/>
        <w:tabs>
          <w:tab w:val="clear" w:pos="4500"/>
          <w:tab w:val="clear" w:pos="4680"/>
          <w:tab w:val="clear" w:pos="4860"/>
          <w:tab w:val="left" w:pos="2880"/>
          <w:tab w:val="left" w:pos="3600"/>
        </w:tabs>
        <w:spacing w:after="0"/>
        <w:jc w:val="left"/>
        <w:rPr>
          <w:sz w:val="24"/>
          <w:szCs w:val="24"/>
        </w:rPr>
      </w:pPr>
    </w:p>
    <w:p w:rsidR="00EF6CCC" w:rsidRPr="00B87D4F" w:rsidRDefault="00EF6CCC" w:rsidP="00EF6CCC">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B87D4F">
        <w:rPr>
          <w:b w:val="0"/>
          <w:sz w:val="24"/>
          <w:szCs w:val="24"/>
        </w:rPr>
        <w:t>A.</w:t>
      </w:r>
      <w:r w:rsidRPr="00B87D4F">
        <w:rPr>
          <w:b w:val="0"/>
          <w:sz w:val="24"/>
          <w:szCs w:val="24"/>
        </w:rPr>
        <w:tab/>
        <w:t xml:space="preserve">Except where specifically provided in another Section herein, the following definitions apply to terms used in this Chapter. </w:t>
      </w:r>
      <w:proofErr w:type="gramStart"/>
      <w:r w:rsidRPr="00B87D4F">
        <w:rPr>
          <w:b w:val="0"/>
          <w:sz w:val="24"/>
          <w:szCs w:val="24"/>
        </w:rPr>
        <w:t>Except as provided in this Chapter, terms used in this Chapter retain the definition provided them in LAC 33:III.111 or the Louisiana Air Quality regulations.</w:t>
      </w:r>
      <w:proofErr w:type="gramEnd"/>
      <w:r w:rsidRPr="00B87D4F">
        <w:rPr>
          <w:b w:val="0"/>
          <w:sz w:val="24"/>
          <w:szCs w:val="24"/>
        </w:rPr>
        <w:t xml:space="preserve"> Wherever provisions related to the Acid Rain Program are concerned, the definitions provided in 40 CFR Part 72 shall apply.</w:t>
      </w:r>
    </w:p>
    <w:p w:rsidR="00EF6CCC" w:rsidRPr="00B87D4F"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EF6CCC" w:rsidRPr="00B87D4F" w:rsidRDefault="00EF6CCC" w:rsidP="00EF6CCC">
      <w:pPr>
        <w:ind w:right="540"/>
        <w:jc w:val="center"/>
      </w:pPr>
      <w:r w:rsidRPr="00B87D4F">
        <w:t>* * *</w:t>
      </w:r>
    </w:p>
    <w:p w:rsidR="00EF6CCC" w:rsidRPr="00B87D4F" w:rsidRDefault="00EF6CCC" w:rsidP="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rPr>
      </w:pPr>
    </w:p>
    <w:p w:rsidR="00EF6CCC" w:rsidRPr="00B87D4F" w:rsidRDefault="00EF6CCC" w:rsidP="00EF6CCC">
      <w:pPr>
        <w:pStyle w:val="1"/>
        <w:spacing w:after="0"/>
        <w:ind w:firstLine="1080"/>
        <w:jc w:val="left"/>
        <w:rPr>
          <w:sz w:val="24"/>
          <w:szCs w:val="24"/>
        </w:rPr>
      </w:pPr>
      <w:r w:rsidRPr="00B87D4F">
        <w:rPr>
          <w:i/>
          <w:sz w:val="24"/>
          <w:szCs w:val="24"/>
        </w:rPr>
        <w:t>Major Source—</w:t>
      </w:r>
      <w:r w:rsidRPr="00B87D4F">
        <w:rPr>
          <w:sz w:val="24"/>
          <w:szCs w:val="24"/>
        </w:rPr>
        <w:t>for the purposes of determining the applicability of 40 CFR Part 70 or of LAC 33:III.507, any stationary source or any group of stationary sources that are located on one or more contiguous or adjacent properties, that are under common control of the same person (or persons under common control), and that are described in Subparagraph a, b, c, or d of this definition:</w:t>
      </w:r>
    </w:p>
    <w:p w:rsidR="00EF6CCC" w:rsidRPr="00B87D4F" w:rsidRDefault="00EF6CCC" w:rsidP="00EF6CCC">
      <w:pPr>
        <w:pStyle w:val="Section"/>
        <w:tabs>
          <w:tab w:val="clear" w:pos="0"/>
          <w:tab w:val="clear" w:pos="180"/>
          <w:tab w:val="clear" w:pos="360"/>
        </w:tabs>
        <w:spacing w:after="0" w:line="240" w:lineRule="auto"/>
        <w:rPr>
          <w:b w:val="0"/>
          <w:sz w:val="24"/>
          <w:szCs w:val="24"/>
        </w:rPr>
      </w:pPr>
    </w:p>
    <w:p w:rsidR="00EF6CCC" w:rsidRPr="00B87D4F" w:rsidRDefault="00EF6CCC" w:rsidP="00EF6CCC">
      <w:pPr>
        <w:pStyle w:val="Section"/>
        <w:tabs>
          <w:tab w:val="clear" w:pos="0"/>
          <w:tab w:val="clear" w:pos="180"/>
          <w:tab w:val="clear" w:pos="360"/>
        </w:tabs>
        <w:spacing w:after="0" w:line="240" w:lineRule="auto"/>
        <w:ind w:firstLine="1080"/>
        <w:rPr>
          <w:b w:val="0"/>
          <w:sz w:val="24"/>
          <w:szCs w:val="24"/>
        </w:rPr>
      </w:pPr>
      <w:proofErr w:type="gramStart"/>
      <w:r w:rsidRPr="00B87D4F">
        <w:rPr>
          <w:b w:val="0"/>
          <w:sz w:val="24"/>
          <w:szCs w:val="24"/>
        </w:rPr>
        <w:t xml:space="preserve">a. - </w:t>
      </w:r>
      <w:proofErr w:type="spellStart"/>
      <w:r w:rsidRPr="00B87D4F">
        <w:rPr>
          <w:b w:val="0"/>
          <w:sz w:val="24"/>
          <w:szCs w:val="24"/>
        </w:rPr>
        <w:t>b.ii</w:t>
      </w:r>
      <w:proofErr w:type="spellEnd"/>
      <w:r w:rsidRPr="00B87D4F">
        <w:rPr>
          <w:b w:val="0"/>
          <w:sz w:val="24"/>
          <w:szCs w:val="24"/>
        </w:rPr>
        <w:t>.</w:t>
      </w:r>
      <w:proofErr w:type="gramEnd"/>
      <w:r w:rsidRPr="00B87D4F">
        <w:rPr>
          <w:b w:val="0"/>
          <w:sz w:val="24"/>
          <w:szCs w:val="24"/>
        </w:rPr>
        <w:t xml:space="preserve">  …</w:t>
      </w:r>
    </w:p>
    <w:p w:rsidR="00EF6CCC" w:rsidRPr="00B87D4F" w:rsidRDefault="00EF6CCC" w:rsidP="00EF6CCC">
      <w:pPr>
        <w:pStyle w:val="a"/>
        <w:tabs>
          <w:tab w:val="left" w:pos="2880"/>
          <w:tab w:val="left" w:pos="3600"/>
        </w:tabs>
        <w:spacing w:after="0"/>
        <w:ind w:firstLine="1080"/>
        <w:jc w:val="left"/>
        <w:rPr>
          <w:sz w:val="24"/>
          <w:szCs w:val="24"/>
        </w:rPr>
      </w:pPr>
    </w:p>
    <w:p w:rsidR="00EF6CCC" w:rsidRPr="00B87D4F" w:rsidRDefault="00EF6CCC" w:rsidP="00EF6CCC">
      <w:pPr>
        <w:pStyle w:val="a"/>
        <w:tabs>
          <w:tab w:val="left" w:pos="2520"/>
          <w:tab w:val="left" w:pos="3600"/>
        </w:tabs>
        <w:spacing w:after="0"/>
        <w:ind w:firstLine="1800"/>
        <w:jc w:val="left"/>
        <w:rPr>
          <w:sz w:val="24"/>
          <w:szCs w:val="24"/>
        </w:rPr>
      </w:pPr>
      <w:r w:rsidRPr="00B87D4F">
        <w:rPr>
          <w:sz w:val="24"/>
          <w:szCs w:val="24"/>
        </w:rPr>
        <w:t>c.</w:t>
      </w:r>
      <w:r w:rsidRPr="00B87D4F">
        <w:rPr>
          <w:sz w:val="24"/>
          <w:szCs w:val="24"/>
        </w:rPr>
        <w:tab/>
        <w:t>any major stationary source as defined in Part D (Nonattainment) of Title I of the Clean Air Act, including any source defined as a major stationary source under LAC 33:III.504.K</w:t>
      </w:r>
      <w:r w:rsidRPr="00B87D4F">
        <w:rPr>
          <w:strike/>
          <w:sz w:val="24"/>
          <w:szCs w:val="24"/>
        </w:rPr>
        <w:t>;</w:t>
      </w:r>
    </w:p>
    <w:p w:rsidR="00EF6CCC" w:rsidRPr="00B87D4F" w:rsidRDefault="00EF6CCC" w:rsidP="00EF6CCC">
      <w:pPr>
        <w:pStyle w:val="a"/>
        <w:tabs>
          <w:tab w:val="left" w:pos="2880"/>
        </w:tabs>
        <w:spacing w:after="0"/>
        <w:ind w:firstLine="1080"/>
        <w:jc w:val="left"/>
        <w:rPr>
          <w:sz w:val="24"/>
          <w:szCs w:val="24"/>
        </w:rPr>
      </w:pPr>
    </w:p>
    <w:p w:rsidR="00EF6CCC" w:rsidRPr="00B87D4F" w:rsidRDefault="00EF6CCC" w:rsidP="00EF6CCC">
      <w:pPr>
        <w:pStyle w:val="a"/>
        <w:tabs>
          <w:tab w:val="left" w:pos="2520"/>
        </w:tabs>
        <w:spacing w:after="0"/>
        <w:ind w:firstLine="1800"/>
        <w:jc w:val="left"/>
        <w:rPr>
          <w:sz w:val="24"/>
          <w:szCs w:val="24"/>
        </w:rPr>
      </w:pPr>
      <w:proofErr w:type="gramStart"/>
      <w:r w:rsidRPr="00B87D4F">
        <w:rPr>
          <w:strike/>
          <w:sz w:val="24"/>
          <w:szCs w:val="24"/>
        </w:rPr>
        <w:t>d</w:t>
      </w:r>
      <w:proofErr w:type="gramEnd"/>
      <w:r w:rsidRPr="00B87D4F">
        <w:rPr>
          <w:strike/>
          <w:sz w:val="24"/>
          <w:szCs w:val="24"/>
        </w:rPr>
        <w:t>.</w:t>
      </w:r>
      <w:r w:rsidRPr="00B87D4F">
        <w:rPr>
          <w:strike/>
          <w:sz w:val="24"/>
          <w:szCs w:val="24"/>
        </w:rPr>
        <w:tab/>
        <w:t xml:space="preserve">as of July 1, 2011, any stationary source that directly emits or has the potential to emit 100 </w:t>
      </w:r>
      <w:proofErr w:type="spellStart"/>
      <w:r w:rsidRPr="00B87D4F">
        <w:rPr>
          <w:strike/>
          <w:sz w:val="24"/>
          <w:szCs w:val="24"/>
        </w:rPr>
        <w:t>tpy</w:t>
      </w:r>
      <w:proofErr w:type="spellEnd"/>
      <w:r w:rsidRPr="00B87D4F">
        <w:rPr>
          <w:strike/>
          <w:sz w:val="24"/>
          <w:szCs w:val="24"/>
        </w:rPr>
        <w:t xml:space="preserve"> or more of </w:t>
      </w:r>
      <w:r w:rsidRPr="00B87D4F">
        <w:rPr>
          <w:i/>
          <w:strike/>
          <w:sz w:val="24"/>
          <w:szCs w:val="24"/>
        </w:rPr>
        <w:t>GHGs</w:t>
      </w:r>
      <w:r w:rsidRPr="00B87D4F">
        <w:rPr>
          <w:strike/>
          <w:sz w:val="24"/>
          <w:szCs w:val="24"/>
        </w:rPr>
        <w:t xml:space="preserve"> on a mass basis (i.e., no global warming potentials applied) and 100,000 </w:t>
      </w:r>
      <w:proofErr w:type="spellStart"/>
      <w:r w:rsidRPr="00B87D4F">
        <w:rPr>
          <w:strike/>
          <w:sz w:val="24"/>
          <w:szCs w:val="24"/>
        </w:rPr>
        <w:t>tpy</w:t>
      </w:r>
      <w:proofErr w:type="spellEnd"/>
      <w:r w:rsidRPr="00B87D4F">
        <w:rPr>
          <w:strike/>
          <w:sz w:val="24"/>
          <w:szCs w:val="24"/>
        </w:rPr>
        <w:t xml:space="preserve"> or more of </w:t>
      </w:r>
      <w:r w:rsidRPr="00B87D4F">
        <w:rPr>
          <w:i/>
          <w:iCs/>
          <w:strike/>
          <w:sz w:val="24"/>
          <w:szCs w:val="24"/>
        </w:rPr>
        <w:t>CO</w:t>
      </w:r>
      <w:r w:rsidRPr="00B87D4F">
        <w:rPr>
          <w:i/>
          <w:strike/>
          <w:sz w:val="24"/>
          <w:szCs w:val="24"/>
          <w:vertAlign w:val="subscript"/>
        </w:rPr>
        <w:t>2</w:t>
      </w:r>
      <w:r w:rsidRPr="00B87D4F">
        <w:rPr>
          <w:i/>
          <w:iCs/>
          <w:strike/>
          <w:sz w:val="24"/>
          <w:szCs w:val="24"/>
        </w:rPr>
        <w:t>e</w:t>
      </w:r>
      <w:r w:rsidRPr="00B87D4F">
        <w:rPr>
          <w:sz w:val="24"/>
          <w:szCs w:val="24"/>
        </w:rPr>
        <w:t>.</w:t>
      </w:r>
    </w:p>
    <w:p w:rsidR="00EF6CCC" w:rsidRPr="00B87D4F"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EF6CCC" w:rsidRPr="00EA1896" w:rsidRDefault="00EF6CCC" w:rsidP="00EF6CCC">
      <w:pPr>
        <w:ind w:right="540"/>
        <w:jc w:val="center"/>
      </w:pPr>
      <w:r w:rsidRPr="00EA1896">
        <w:t>* * *</w:t>
      </w:r>
    </w:p>
    <w:p w:rsidR="00EF6CCC" w:rsidRPr="009D45DC"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F6CCC" w:rsidRPr="009D45DC" w:rsidRDefault="00EF6CCC" w:rsidP="00EF6CCC">
      <w:pPr>
        <w:pStyle w:val="AuthorityNote"/>
        <w:ind w:firstLine="720"/>
        <w:jc w:val="left"/>
        <w:rPr>
          <w:sz w:val="24"/>
          <w:szCs w:val="24"/>
        </w:rPr>
      </w:pPr>
      <w:r w:rsidRPr="009D45DC">
        <w:rPr>
          <w:sz w:val="24"/>
          <w:szCs w:val="24"/>
        </w:rPr>
        <w:t>AUTHORITY NOTE:</w:t>
      </w:r>
      <w:r w:rsidRPr="009D45DC">
        <w:rPr>
          <w:sz w:val="24"/>
          <w:szCs w:val="24"/>
        </w:rPr>
        <w:tab/>
      </w:r>
      <w:r w:rsidRPr="009D45DC">
        <w:rPr>
          <w:sz w:val="24"/>
          <w:szCs w:val="24"/>
        </w:rPr>
        <w:tab/>
        <w:t>Promulgated in accordance with R.S. 30:2054.</w:t>
      </w:r>
    </w:p>
    <w:p w:rsidR="00EF6CCC" w:rsidRPr="009D45DC" w:rsidRDefault="00EF6CCC" w:rsidP="00EF6CCC">
      <w:pPr>
        <w:pStyle w:val="HistoricalNote"/>
        <w:spacing w:after="0"/>
        <w:ind w:firstLine="720"/>
        <w:jc w:val="left"/>
        <w:rPr>
          <w:sz w:val="24"/>
          <w:szCs w:val="24"/>
        </w:rPr>
      </w:pPr>
      <w:r w:rsidRPr="009D45DC">
        <w:rPr>
          <w:sz w:val="24"/>
          <w:szCs w:val="24"/>
        </w:rPr>
        <w:t>HISTORICAL NOTE:</w:t>
      </w:r>
      <w:r w:rsidRPr="009D45DC">
        <w:rPr>
          <w:sz w:val="24"/>
          <w:szCs w:val="24"/>
        </w:rPr>
        <w:tab/>
        <w:t>Promulgated by the Department of Environmental Quality, Office of Air Quality and Radiation Protection, Air Quality Division, LR 19:1420 (November 1993), amended by the Office of Environmental Assessment, Environmental Planning Division, LR 26:2445 (November 2000), LR 28:1950 (September 2002), amended by the Office of the Secretary, Legal Affairs Division, LR 36:2553 (November 2010), LR 37:1148 (April 2011), LR 37:</w:t>
      </w:r>
      <w:r>
        <w:rPr>
          <w:sz w:val="24"/>
          <w:szCs w:val="24"/>
        </w:rPr>
        <w:t xml:space="preserve">1391 (May 2011), </w:t>
      </w:r>
      <w:r w:rsidRPr="00EC7B62">
        <w:rPr>
          <w:sz w:val="24"/>
          <w:szCs w:val="24"/>
        </w:rPr>
        <w:t>amended by the Office of</w:t>
      </w:r>
      <w:r>
        <w:rPr>
          <w:sz w:val="24"/>
          <w:szCs w:val="24"/>
        </w:rPr>
        <w:t xml:space="preserve"> the Secretary, Legal Division</w:t>
      </w:r>
      <w:r w:rsidRPr="00EC7B62">
        <w:rPr>
          <w:sz w:val="24"/>
          <w:szCs w:val="24"/>
        </w:rPr>
        <w:t>, LR 4</w:t>
      </w:r>
      <w:r>
        <w:rPr>
          <w:sz w:val="24"/>
          <w:szCs w:val="24"/>
        </w:rPr>
        <w:t>2</w:t>
      </w:r>
      <w:r w:rsidRPr="00EC7B62">
        <w:rPr>
          <w:sz w:val="24"/>
          <w:szCs w:val="24"/>
        </w:rPr>
        <w:t>:**.</w:t>
      </w:r>
    </w:p>
    <w:p w:rsidR="00EF6CCC"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F6CCC" w:rsidRPr="0047492F"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47492F">
        <w:rPr>
          <w:sz w:val="24"/>
          <w:szCs w:val="24"/>
        </w:rPr>
        <w:t>§509</w:t>
      </w:r>
      <w:r>
        <w:rPr>
          <w:sz w:val="24"/>
          <w:szCs w:val="24"/>
        </w:rPr>
        <w:t xml:space="preserve">.  </w:t>
      </w:r>
      <w:r w:rsidRPr="0047492F">
        <w:rPr>
          <w:sz w:val="24"/>
          <w:szCs w:val="24"/>
        </w:rPr>
        <w:t>Preve</w:t>
      </w:r>
      <w:r w:rsidRPr="000F441F">
        <w:rPr>
          <w:sz w:val="24"/>
          <w:szCs w:val="24"/>
        </w:rPr>
        <w:t>n</w:t>
      </w:r>
      <w:r w:rsidRPr="0047492F">
        <w:rPr>
          <w:sz w:val="24"/>
          <w:szCs w:val="24"/>
        </w:rPr>
        <w:t>tion of Significant Deterioration</w:t>
      </w:r>
    </w:p>
    <w:p w:rsidR="00EF6CCC" w:rsidRPr="00D80874" w:rsidRDefault="00EF6CCC" w:rsidP="00EF6CCC">
      <w:pPr>
        <w:pStyle w:val="i"/>
        <w:tabs>
          <w:tab w:val="clear" w:pos="4500"/>
          <w:tab w:val="clear" w:pos="4680"/>
          <w:tab w:val="clear" w:pos="4860"/>
          <w:tab w:val="left" w:pos="2880"/>
          <w:tab w:val="left" w:pos="3600"/>
        </w:tabs>
        <w:spacing w:after="0"/>
        <w:jc w:val="left"/>
        <w:rPr>
          <w:sz w:val="24"/>
          <w:szCs w:val="24"/>
        </w:rPr>
      </w:pPr>
    </w:p>
    <w:p w:rsidR="00EF6CCC" w:rsidRPr="00D80874" w:rsidRDefault="00EF6CCC" w:rsidP="00EF6CCC">
      <w:pPr>
        <w:pStyle w:val="Section"/>
        <w:tabs>
          <w:tab w:val="clear" w:pos="0"/>
          <w:tab w:val="clear" w:pos="180"/>
          <w:tab w:val="clear" w:pos="360"/>
        </w:tabs>
        <w:spacing w:after="0" w:line="240" w:lineRule="auto"/>
        <w:ind w:firstLine="0"/>
        <w:rPr>
          <w:b w:val="0"/>
          <w:color w:val="000000"/>
          <w:sz w:val="24"/>
          <w:szCs w:val="24"/>
        </w:rPr>
      </w:pPr>
      <w:r w:rsidRPr="00D80874">
        <w:rPr>
          <w:b w:val="0"/>
          <w:color w:val="000000"/>
          <w:sz w:val="24"/>
          <w:szCs w:val="24"/>
        </w:rPr>
        <w:t>A. - A.5.  …</w:t>
      </w:r>
    </w:p>
    <w:p w:rsidR="00EF6CCC" w:rsidRPr="00D80874" w:rsidRDefault="00EF6CCC" w:rsidP="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rPr>
      </w:pPr>
    </w:p>
    <w:p w:rsidR="00EF6CCC" w:rsidRPr="00D80874" w:rsidRDefault="00EF6CCC" w:rsidP="00EF6CCC">
      <w:pPr>
        <w:pStyle w:val="Section"/>
        <w:tabs>
          <w:tab w:val="clear" w:pos="180"/>
          <w:tab w:val="clear" w:pos="360"/>
          <w:tab w:val="clear" w:pos="720"/>
          <w:tab w:val="clear" w:pos="900"/>
          <w:tab w:val="clear" w:pos="1080"/>
          <w:tab w:val="clear" w:pos="1260"/>
          <w:tab w:val="clear" w:pos="1620"/>
        </w:tabs>
        <w:spacing w:after="0" w:line="240" w:lineRule="auto"/>
        <w:ind w:left="0" w:firstLine="720"/>
        <w:rPr>
          <w:b w:val="0"/>
          <w:color w:val="000000"/>
          <w:sz w:val="24"/>
          <w:szCs w:val="24"/>
        </w:rPr>
      </w:pPr>
      <w:r w:rsidRPr="00D80874">
        <w:rPr>
          <w:b w:val="0"/>
          <w:color w:val="000000"/>
          <w:sz w:val="24"/>
          <w:szCs w:val="24"/>
        </w:rPr>
        <w:lastRenderedPageBreak/>
        <w:t>B.</w:t>
      </w:r>
      <w:r w:rsidRPr="00D80874">
        <w:rPr>
          <w:b w:val="0"/>
          <w:color w:val="000000"/>
          <w:sz w:val="24"/>
          <w:szCs w:val="24"/>
        </w:rPr>
        <w:tab/>
      </w:r>
      <w:r w:rsidRPr="00D80874">
        <w:rPr>
          <w:b w:val="0"/>
          <w:sz w:val="24"/>
          <w:szCs w:val="24"/>
        </w:rPr>
        <w:t>Definitions. For the purpose of this Section, the terms below shall have the meaning specified herein as follows.</w:t>
      </w:r>
    </w:p>
    <w:p w:rsidR="00EF6CCC" w:rsidRPr="00824FE3"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EF6CCC" w:rsidRPr="00824FE3" w:rsidRDefault="00EF6CCC" w:rsidP="00EF6CCC">
      <w:pPr>
        <w:ind w:right="540"/>
        <w:jc w:val="center"/>
      </w:pPr>
      <w:r w:rsidRPr="00824FE3">
        <w:t>* * *</w:t>
      </w:r>
    </w:p>
    <w:p w:rsidR="00EF6CCC" w:rsidRPr="00824FE3" w:rsidRDefault="00EF6CCC" w:rsidP="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rPr>
      </w:pPr>
    </w:p>
    <w:p w:rsidR="00EF6CCC" w:rsidRPr="00B87D4F" w:rsidRDefault="00EF6CCC" w:rsidP="00EF6CCC">
      <w:pPr>
        <w:pStyle w:val="1"/>
        <w:spacing w:after="0"/>
        <w:ind w:firstLine="1080"/>
        <w:jc w:val="left"/>
        <w:rPr>
          <w:sz w:val="24"/>
          <w:szCs w:val="24"/>
        </w:rPr>
      </w:pPr>
      <w:r w:rsidRPr="00B87D4F">
        <w:rPr>
          <w:i/>
          <w:iCs/>
          <w:sz w:val="24"/>
          <w:szCs w:val="24"/>
        </w:rPr>
        <w:t>Major Stationary Source</w:t>
      </w:r>
      <w:r w:rsidRPr="00B87D4F">
        <w:rPr>
          <w:sz w:val="24"/>
          <w:szCs w:val="24"/>
        </w:rPr>
        <w:t>—</w:t>
      </w:r>
    </w:p>
    <w:p w:rsidR="00EF6CCC" w:rsidRPr="00B87D4F" w:rsidRDefault="00EF6CCC" w:rsidP="00EF6CCC">
      <w:pPr>
        <w:pStyle w:val="Section"/>
        <w:tabs>
          <w:tab w:val="clear" w:pos="0"/>
          <w:tab w:val="clear" w:pos="180"/>
          <w:tab w:val="clear" w:pos="360"/>
        </w:tabs>
        <w:spacing w:after="0" w:line="240" w:lineRule="auto"/>
        <w:rPr>
          <w:b w:val="0"/>
          <w:sz w:val="24"/>
          <w:szCs w:val="24"/>
        </w:rPr>
      </w:pPr>
    </w:p>
    <w:p w:rsidR="00EF6CCC" w:rsidRPr="00B87D4F" w:rsidRDefault="00EF6CCC" w:rsidP="00EF6CCC">
      <w:pPr>
        <w:pStyle w:val="Section"/>
        <w:tabs>
          <w:tab w:val="clear" w:pos="0"/>
          <w:tab w:val="clear" w:pos="180"/>
          <w:tab w:val="clear" w:pos="360"/>
        </w:tabs>
        <w:spacing w:after="0" w:line="240" w:lineRule="auto"/>
        <w:ind w:firstLine="1080"/>
        <w:rPr>
          <w:b w:val="0"/>
          <w:sz w:val="24"/>
          <w:szCs w:val="24"/>
        </w:rPr>
      </w:pPr>
      <w:proofErr w:type="gramStart"/>
      <w:r w:rsidRPr="00B87D4F">
        <w:rPr>
          <w:b w:val="0"/>
          <w:sz w:val="24"/>
          <w:szCs w:val="24"/>
        </w:rPr>
        <w:t>a. - b.</w:t>
      </w:r>
      <w:proofErr w:type="gramEnd"/>
      <w:r w:rsidRPr="00B87D4F">
        <w:rPr>
          <w:b w:val="0"/>
          <w:sz w:val="24"/>
          <w:szCs w:val="24"/>
        </w:rPr>
        <w:t xml:space="preserve">  …</w:t>
      </w:r>
    </w:p>
    <w:p w:rsidR="00EF6CCC" w:rsidRPr="00B87D4F" w:rsidRDefault="00EF6CCC" w:rsidP="00EF6CCC">
      <w:pPr>
        <w:pStyle w:val="a"/>
        <w:tabs>
          <w:tab w:val="left" w:pos="2880"/>
        </w:tabs>
        <w:spacing w:after="0"/>
        <w:jc w:val="left"/>
        <w:rPr>
          <w:sz w:val="24"/>
          <w:szCs w:val="24"/>
        </w:rPr>
      </w:pPr>
    </w:p>
    <w:p w:rsidR="00EF6CCC" w:rsidRPr="00B87D4F" w:rsidRDefault="00EF6CCC" w:rsidP="00EF6CCC">
      <w:pPr>
        <w:pStyle w:val="a"/>
        <w:tabs>
          <w:tab w:val="left" w:pos="2520"/>
        </w:tabs>
        <w:spacing w:after="0"/>
        <w:ind w:firstLine="1800"/>
        <w:jc w:val="left"/>
        <w:rPr>
          <w:strike/>
          <w:sz w:val="24"/>
          <w:szCs w:val="24"/>
        </w:rPr>
      </w:pPr>
      <w:r w:rsidRPr="00B87D4F">
        <w:rPr>
          <w:strike/>
          <w:sz w:val="24"/>
          <w:szCs w:val="24"/>
        </w:rPr>
        <w:t>c.</w:t>
      </w:r>
      <w:r w:rsidRPr="00B87D4F">
        <w:rPr>
          <w:strike/>
          <w:sz w:val="24"/>
          <w:szCs w:val="24"/>
        </w:rPr>
        <w:tab/>
        <w:t xml:space="preserve">as of July 1, 2011, any stationary source listed in Table A of this definition which emits, or has the potential to emit, 100 </w:t>
      </w:r>
      <w:proofErr w:type="spellStart"/>
      <w:r w:rsidRPr="00B87D4F">
        <w:rPr>
          <w:strike/>
          <w:sz w:val="24"/>
          <w:szCs w:val="24"/>
        </w:rPr>
        <w:t>tpy</w:t>
      </w:r>
      <w:proofErr w:type="spellEnd"/>
      <w:r w:rsidRPr="00B87D4F">
        <w:rPr>
          <w:strike/>
          <w:sz w:val="24"/>
          <w:szCs w:val="24"/>
        </w:rPr>
        <w:t xml:space="preserve"> or more of </w:t>
      </w:r>
      <w:r w:rsidRPr="00B87D4F">
        <w:rPr>
          <w:i/>
          <w:strike/>
          <w:sz w:val="24"/>
          <w:szCs w:val="24"/>
        </w:rPr>
        <w:t>GHGs</w:t>
      </w:r>
      <w:r w:rsidRPr="00B87D4F">
        <w:rPr>
          <w:strike/>
          <w:sz w:val="24"/>
          <w:szCs w:val="24"/>
        </w:rPr>
        <w:t xml:space="preserve"> on a mass basis (i.e., no global warming potentials applied) and 100,000 tons per year or more of </w:t>
      </w:r>
      <w:r w:rsidRPr="00B87D4F">
        <w:rPr>
          <w:i/>
          <w:strike/>
          <w:sz w:val="24"/>
          <w:szCs w:val="24"/>
        </w:rPr>
        <w:t>CO</w:t>
      </w:r>
      <w:r w:rsidRPr="00B87D4F">
        <w:rPr>
          <w:i/>
          <w:strike/>
          <w:sz w:val="24"/>
          <w:szCs w:val="24"/>
          <w:vertAlign w:val="subscript"/>
        </w:rPr>
        <w:t>2</w:t>
      </w:r>
      <w:r w:rsidRPr="00B87D4F">
        <w:rPr>
          <w:i/>
          <w:strike/>
          <w:sz w:val="24"/>
          <w:szCs w:val="24"/>
        </w:rPr>
        <w:t>e</w:t>
      </w:r>
      <w:r w:rsidRPr="00B87D4F">
        <w:rPr>
          <w:strike/>
          <w:sz w:val="24"/>
          <w:szCs w:val="24"/>
        </w:rPr>
        <w:t>; or</w:t>
      </w:r>
      <w:r w:rsidRPr="00B87D4F">
        <w:rPr>
          <w:i/>
          <w:strike/>
          <w:sz w:val="24"/>
          <w:szCs w:val="24"/>
        </w:rPr>
        <w:t xml:space="preserve"> </w:t>
      </w:r>
      <w:r w:rsidRPr="00B87D4F">
        <w:rPr>
          <w:strike/>
          <w:sz w:val="24"/>
          <w:szCs w:val="24"/>
        </w:rPr>
        <w:t xml:space="preserve">any stationary source not listed in Table A that emits, or has the potential to emit, 250 </w:t>
      </w:r>
      <w:proofErr w:type="spellStart"/>
      <w:r w:rsidRPr="00B87D4F">
        <w:rPr>
          <w:strike/>
          <w:sz w:val="24"/>
          <w:szCs w:val="24"/>
        </w:rPr>
        <w:t>tpy</w:t>
      </w:r>
      <w:proofErr w:type="spellEnd"/>
      <w:r w:rsidRPr="00B87D4F">
        <w:rPr>
          <w:strike/>
          <w:sz w:val="24"/>
          <w:szCs w:val="24"/>
        </w:rPr>
        <w:t xml:space="preserve"> or more of </w:t>
      </w:r>
      <w:r w:rsidRPr="00B87D4F">
        <w:rPr>
          <w:i/>
          <w:strike/>
          <w:sz w:val="24"/>
          <w:szCs w:val="24"/>
        </w:rPr>
        <w:t>GHGs</w:t>
      </w:r>
      <w:r w:rsidRPr="00B87D4F">
        <w:rPr>
          <w:strike/>
          <w:sz w:val="24"/>
          <w:szCs w:val="24"/>
        </w:rPr>
        <w:t xml:space="preserve"> on a mass basis and 100,000 tons per year or more of </w:t>
      </w:r>
      <w:r w:rsidRPr="00B87D4F">
        <w:rPr>
          <w:i/>
          <w:strike/>
          <w:sz w:val="24"/>
          <w:szCs w:val="24"/>
        </w:rPr>
        <w:t>CO</w:t>
      </w:r>
      <w:r w:rsidRPr="00B87D4F">
        <w:rPr>
          <w:i/>
          <w:strike/>
          <w:sz w:val="24"/>
          <w:szCs w:val="24"/>
          <w:vertAlign w:val="subscript"/>
        </w:rPr>
        <w:t>2</w:t>
      </w:r>
      <w:r w:rsidRPr="00B87D4F">
        <w:rPr>
          <w:i/>
          <w:strike/>
          <w:sz w:val="24"/>
          <w:szCs w:val="24"/>
        </w:rPr>
        <w:t>e</w:t>
      </w:r>
      <w:r w:rsidRPr="00B87D4F">
        <w:rPr>
          <w:strike/>
          <w:sz w:val="24"/>
          <w:szCs w:val="24"/>
        </w:rPr>
        <w:t>; or</w:t>
      </w:r>
    </w:p>
    <w:p w:rsidR="00EF6CCC" w:rsidRPr="00B87D4F" w:rsidRDefault="00EF6CCC" w:rsidP="00EF6CCC">
      <w:pPr>
        <w:pStyle w:val="a"/>
        <w:tabs>
          <w:tab w:val="left" w:pos="2880"/>
        </w:tabs>
        <w:spacing w:after="0"/>
        <w:ind w:firstLine="0"/>
        <w:jc w:val="left"/>
        <w:rPr>
          <w:sz w:val="24"/>
          <w:szCs w:val="24"/>
        </w:rPr>
      </w:pPr>
    </w:p>
    <w:p w:rsidR="00EF6CCC" w:rsidRPr="00B87D4F" w:rsidRDefault="00EF6CCC" w:rsidP="00EF6CCC">
      <w:pPr>
        <w:pStyle w:val="a"/>
        <w:tabs>
          <w:tab w:val="left" w:pos="2520"/>
        </w:tabs>
        <w:spacing w:after="0"/>
        <w:ind w:firstLine="1800"/>
        <w:jc w:val="left"/>
        <w:rPr>
          <w:sz w:val="24"/>
          <w:szCs w:val="24"/>
        </w:rPr>
      </w:pPr>
      <w:r w:rsidRPr="00B87D4F">
        <w:rPr>
          <w:strike/>
          <w:sz w:val="24"/>
          <w:szCs w:val="24"/>
        </w:rPr>
        <w:t>d</w:t>
      </w:r>
      <w:r w:rsidRPr="00B87D4F">
        <w:rPr>
          <w:sz w:val="24"/>
          <w:szCs w:val="24"/>
          <w:u w:val="single"/>
        </w:rPr>
        <w:t>c</w:t>
      </w:r>
      <w:r w:rsidRPr="00B87D4F">
        <w:rPr>
          <w:sz w:val="24"/>
          <w:szCs w:val="24"/>
        </w:rPr>
        <w:t>.</w:t>
      </w:r>
      <w:r w:rsidRPr="00B87D4F">
        <w:rPr>
          <w:sz w:val="24"/>
          <w:szCs w:val="24"/>
        </w:rPr>
        <w:tab/>
      </w:r>
      <w:proofErr w:type="gramStart"/>
      <w:r w:rsidRPr="00B87D4F">
        <w:rPr>
          <w:sz w:val="24"/>
          <w:szCs w:val="24"/>
        </w:rPr>
        <w:t>any</w:t>
      </w:r>
      <w:proofErr w:type="gramEnd"/>
      <w:r w:rsidRPr="00B87D4F">
        <w:rPr>
          <w:sz w:val="24"/>
          <w:szCs w:val="24"/>
        </w:rPr>
        <w:t xml:space="preserve"> physical change that would occur at a source not otherwise qualifying as a major stationary source under Subparagraphs a</w:t>
      </w:r>
      <w:r w:rsidRPr="00B87D4F">
        <w:rPr>
          <w:strike/>
          <w:sz w:val="24"/>
          <w:szCs w:val="24"/>
        </w:rPr>
        <w:t>,</w:t>
      </w:r>
      <w:r w:rsidRPr="00B87D4F">
        <w:rPr>
          <w:sz w:val="24"/>
          <w:szCs w:val="24"/>
          <w:u w:val="single"/>
        </w:rPr>
        <w:t xml:space="preserve"> or</w:t>
      </w:r>
      <w:r w:rsidRPr="00B87D4F">
        <w:rPr>
          <w:sz w:val="24"/>
          <w:szCs w:val="24"/>
        </w:rPr>
        <w:t xml:space="preserve"> b</w:t>
      </w:r>
      <w:r w:rsidRPr="00B87D4F">
        <w:rPr>
          <w:strike/>
          <w:sz w:val="24"/>
          <w:szCs w:val="24"/>
        </w:rPr>
        <w:t>, or c</w:t>
      </w:r>
      <w:r w:rsidRPr="00B87D4F">
        <w:rPr>
          <w:sz w:val="24"/>
          <w:szCs w:val="24"/>
        </w:rPr>
        <w:t xml:space="preserve"> of this definition if the change would constitute a major source by itself;</w:t>
      </w:r>
    </w:p>
    <w:p w:rsidR="00EF6CCC" w:rsidRPr="00B87D4F" w:rsidRDefault="00EF6CCC" w:rsidP="00EF6CCC">
      <w:pPr>
        <w:pStyle w:val="a"/>
        <w:tabs>
          <w:tab w:val="left" w:pos="2520"/>
        </w:tabs>
        <w:spacing w:after="0"/>
        <w:ind w:firstLine="0"/>
        <w:jc w:val="left"/>
        <w:rPr>
          <w:sz w:val="24"/>
          <w:szCs w:val="24"/>
        </w:rPr>
      </w:pPr>
    </w:p>
    <w:p w:rsidR="00EF6CCC" w:rsidRPr="00B87D4F" w:rsidRDefault="00EF6CCC" w:rsidP="00EF6CCC">
      <w:pPr>
        <w:pStyle w:val="a"/>
        <w:tabs>
          <w:tab w:val="left" w:pos="2520"/>
        </w:tabs>
        <w:spacing w:after="0"/>
        <w:ind w:firstLine="1800"/>
        <w:jc w:val="left"/>
        <w:rPr>
          <w:sz w:val="24"/>
          <w:szCs w:val="24"/>
        </w:rPr>
      </w:pPr>
      <w:proofErr w:type="gramStart"/>
      <w:r w:rsidRPr="00B87D4F">
        <w:rPr>
          <w:strike/>
          <w:sz w:val="24"/>
          <w:szCs w:val="24"/>
        </w:rPr>
        <w:t>e</w:t>
      </w:r>
      <w:r w:rsidRPr="00B87D4F">
        <w:rPr>
          <w:sz w:val="24"/>
          <w:szCs w:val="24"/>
          <w:u w:val="single"/>
        </w:rPr>
        <w:t>d</w:t>
      </w:r>
      <w:proofErr w:type="gramEnd"/>
      <w:r w:rsidRPr="00B87D4F">
        <w:rPr>
          <w:sz w:val="24"/>
          <w:szCs w:val="24"/>
        </w:rPr>
        <w:t>.</w:t>
      </w:r>
      <w:r w:rsidRPr="00B87D4F">
        <w:rPr>
          <w:sz w:val="24"/>
          <w:szCs w:val="24"/>
        </w:rPr>
        <w:tab/>
        <w:t>a major source that is major for volatile organic compounds or nitrogen oxides shall be considered major for ozone;</w:t>
      </w:r>
    </w:p>
    <w:p w:rsidR="00EF6CCC" w:rsidRPr="00B87D4F" w:rsidRDefault="00EF6CCC" w:rsidP="00EF6CCC">
      <w:pPr>
        <w:pStyle w:val="a"/>
        <w:tabs>
          <w:tab w:val="left" w:pos="2520"/>
        </w:tabs>
        <w:spacing w:after="0"/>
        <w:ind w:firstLine="0"/>
        <w:jc w:val="left"/>
        <w:rPr>
          <w:sz w:val="24"/>
          <w:szCs w:val="24"/>
        </w:rPr>
      </w:pPr>
    </w:p>
    <w:p w:rsidR="00EF6CCC" w:rsidRPr="00B87D4F" w:rsidRDefault="00EF6CCC" w:rsidP="00EF6CCC">
      <w:pPr>
        <w:pStyle w:val="a"/>
        <w:tabs>
          <w:tab w:val="clear" w:pos="907"/>
          <w:tab w:val="left" w:pos="720"/>
          <w:tab w:val="left" w:pos="1080"/>
          <w:tab w:val="left" w:pos="2520"/>
        </w:tabs>
        <w:spacing w:after="0"/>
        <w:ind w:firstLine="1800"/>
        <w:jc w:val="left"/>
        <w:rPr>
          <w:sz w:val="24"/>
          <w:szCs w:val="24"/>
        </w:rPr>
      </w:pPr>
      <w:proofErr w:type="spellStart"/>
      <w:proofErr w:type="gramStart"/>
      <w:r w:rsidRPr="00B87D4F">
        <w:rPr>
          <w:strike/>
          <w:sz w:val="24"/>
          <w:szCs w:val="24"/>
        </w:rPr>
        <w:t>f</w:t>
      </w:r>
      <w:r w:rsidRPr="00B87D4F">
        <w:rPr>
          <w:sz w:val="24"/>
          <w:szCs w:val="24"/>
          <w:u w:val="single"/>
        </w:rPr>
        <w:t>e</w:t>
      </w:r>
      <w:proofErr w:type="spellEnd"/>
      <w:proofErr w:type="gramEnd"/>
      <w:r w:rsidRPr="00B87D4F">
        <w:rPr>
          <w:sz w:val="24"/>
          <w:szCs w:val="24"/>
        </w:rPr>
        <w:t>.</w:t>
      </w:r>
      <w:r w:rsidRPr="00B87D4F">
        <w:rPr>
          <w:sz w:val="24"/>
          <w:szCs w:val="24"/>
        </w:rPr>
        <w:tab/>
      </w:r>
      <w:proofErr w:type="gramStart"/>
      <w:r w:rsidRPr="00B87D4F">
        <w:rPr>
          <w:sz w:val="24"/>
          <w:szCs w:val="24"/>
        </w:rPr>
        <w:t>the</w:t>
      </w:r>
      <w:proofErr w:type="gramEnd"/>
      <w:r w:rsidRPr="00B87D4F">
        <w:rPr>
          <w:sz w:val="24"/>
          <w:szCs w:val="24"/>
        </w:rPr>
        <w:t xml:space="preserve"> fugitive emissions of a stationary source shall not be included in determining for any of the purposes of this Section whether it is a </w:t>
      </w:r>
      <w:r w:rsidRPr="00B87D4F">
        <w:rPr>
          <w:i/>
          <w:sz w:val="24"/>
          <w:szCs w:val="24"/>
        </w:rPr>
        <w:t>major stationary source</w:t>
      </w:r>
      <w:r w:rsidRPr="00B87D4F">
        <w:rPr>
          <w:sz w:val="24"/>
          <w:szCs w:val="24"/>
        </w:rPr>
        <w:t>, unless the source is listed in Table A of this definition or, as of August 7, 1980, is being regulated under section 111 or 112 of the Clean Air Act.</w:t>
      </w:r>
    </w:p>
    <w:p w:rsidR="00EF6CCC" w:rsidRPr="00824FE3"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F6CCC" w:rsidRPr="00824FE3" w:rsidRDefault="00EF6CCC" w:rsidP="00EF6CCC">
      <w:pPr>
        <w:ind w:right="540"/>
        <w:jc w:val="center"/>
      </w:pPr>
      <w:r w:rsidRPr="00824FE3">
        <w:t>* * *</w:t>
      </w:r>
    </w:p>
    <w:p w:rsidR="00EF6CCC" w:rsidRPr="00824FE3" w:rsidRDefault="00EF6CCC" w:rsidP="00EF6C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F6CCC" w:rsidRPr="00A84596" w:rsidRDefault="00EF6CCC" w:rsidP="00EF6CCC">
      <w:pPr>
        <w:pStyle w:val="Section"/>
        <w:tabs>
          <w:tab w:val="clear" w:pos="0"/>
          <w:tab w:val="clear" w:pos="180"/>
          <w:tab w:val="clear" w:pos="360"/>
        </w:tabs>
        <w:spacing w:after="0" w:line="240" w:lineRule="auto"/>
        <w:rPr>
          <w:b w:val="0"/>
          <w:color w:val="000000"/>
          <w:sz w:val="24"/>
          <w:szCs w:val="24"/>
        </w:rPr>
      </w:pPr>
      <w:r>
        <w:rPr>
          <w:b w:val="0"/>
          <w:color w:val="000000"/>
          <w:sz w:val="24"/>
          <w:szCs w:val="24"/>
        </w:rPr>
        <w:tab/>
        <w:t>C</w:t>
      </w:r>
      <w:r w:rsidRPr="00A84596">
        <w:rPr>
          <w:b w:val="0"/>
          <w:color w:val="000000"/>
          <w:sz w:val="24"/>
          <w:szCs w:val="24"/>
        </w:rPr>
        <w:t>.</w:t>
      </w:r>
      <w:r w:rsidRPr="00F544BC">
        <w:rPr>
          <w:b w:val="0"/>
          <w:color w:val="000000"/>
          <w:sz w:val="24"/>
          <w:szCs w:val="24"/>
        </w:rPr>
        <w:t xml:space="preserve"> - </w:t>
      </w:r>
      <w:r>
        <w:rPr>
          <w:b w:val="0"/>
          <w:color w:val="000000"/>
          <w:sz w:val="24"/>
          <w:szCs w:val="24"/>
        </w:rPr>
        <w:t>AA.15.b</w:t>
      </w:r>
      <w:r w:rsidRPr="00A84596">
        <w:rPr>
          <w:b w:val="0"/>
          <w:color w:val="000000"/>
          <w:sz w:val="24"/>
          <w:szCs w:val="24"/>
        </w:rPr>
        <w:t>.  …</w:t>
      </w:r>
    </w:p>
    <w:p w:rsidR="00EF6CCC" w:rsidRPr="00640CE3" w:rsidRDefault="00EF6CCC" w:rsidP="00EF6CCC">
      <w:pPr>
        <w:pStyle w:val="HistoricalNote"/>
        <w:spacing w:after="0"/>
        <w:ind w:firstLine="0"/>
        <w:rPr>
          <w:sz w:val="24"/>
          <w:szCs w:val="24"/>
        </w:rPr>
      </w:pPr>
    </w:p>
    <w:p w:rsidR="00EF6CCC" w:rsidRPr="00640CE3" w:rsidRDefault="00EF6CCC" w:rsidP="00EF6CCC">
      <w:pPr>
        <w:pStyle w:val="AuthorityNote"/>
        <w:ind w:firstLine="720"/>
        <w:jc w:val="left"/>
        <w:rPr>
          <w:sz w:val="24"/>
          <w:szCs w:val="24"/>
        </w:rPr>
      </w:pPr>
      <w:r w:rsidRPr="00640CE3">
        <w:rPr>
          <w:sz w:val="24"/>
          <w:szCs w:val="24"/>
        </w:rPr>
        <w:t>AUTHORITY NOTE:</w:t>
      </w:r>
      <w:r w:rsidRPr="00640CE3">
        <w:rPr>
          <w:sz w:val="24"/>
          <w:szCs w:val="24"/>
        </w:rPr>
        <w:tab/>
      </w:r>
      <w:r w:rsidRPr="00640CE3">
        <w:rPr>
          <w:sz w:val="24"/>
          <w:szCs w:val="24"/>
        </w:rPr>
        <w:tab/>
        <w:t>Promulgated in accordance with R.S. 30:2054.</w:t>
      </w:r>
    </w:p>
    <w:p w:rsidR="00EF6CCC" w:rsidRDefault="00EF6CCC" w:rsidP="00EF6CCC">
      <w:pPr>
        <w:pStyle w:val="HistoricalNote"/>
        <w:spacing w:after="0"/>
        <w:ind w:firstLine="720"/>
        <w:jc w:val="left"/>
        <w:rPr>
          <w:sz w:val="24"/>
          <w:szCs w:val="24"/>
        </w:rPr>
      </w:pPr>
      <w:r w:rsidRPr="00640CE3">
        <w:rPr>
          <w:sz w:val="24"/>
          <w:szCs w:val="24"/>
        </w:rPr>
        <w:t>HISTORICAL NOTE:</w:t>
      </w:r>
      <w:r w:rsidRPr="00640CE3">
        <w:rPr>
          <w:sz w:val="24"/>
          <w:szCs w:val="24"/>
        </w:rPr>
        <w:tab/>
      </w:r>
      <w:r w:rsidRPr="00EC7B62">
        <w:rPr>
          <w:sz w:val="24"/>
          <w:szCs w:val="24"/>
        </w:rPr>
        <w:t>Promulgated by the Department of Environmental Quality, Office of Air Quality and Nuclear Energy, Air Quality Division, LR 13:741 (December 1987), amended LR 14:348 (June 1988), LR 16:613 (July 1990), amended by the Office of Air Quality and Radiation Protection, Air Quality Division, LR 17:478 (May 1991), LR 21:170 (February 1995), LR 22:339 (May 1996), LR 23:1677 (December 1997), LR 24:654 (April 1998), LR 24:1284 (July 1998), repromulgated LR 25:259 (February 1999), amended by the Office of Environmental Assessment, Environmental Planning Division, LR 26:2447 (November 2000), LR 27:2234 (December 2001), amended by the Office of the Secretary, Legal Affairs Division, LR 31:2437 (October 2005), LR 31:3135, 3156 (December 2005), LR 32:1600 (September 2006), LR 32:1843 (October 2006), LR 36:2556 (November 2010), LR 37:1148 (April 2011), repromulgated LR 37:1389 (May 2011), amended LR 37:1570 (June 2011), repromulgated LR 37:2146 (July 2011), amended by the Office of the Secretary, Legal Division, LR 38:3163 (December 2012), LR 39:1280 (May 2013), LR 4</w:t>
      </w:r>
      <w:r>
        <w:rPr>
          <w:sz w:val="24"/>
          <w:szCs w:val="24"/>
        </w:rPr>
        <w:t>2</w:t>
      </w:r>
      <w:r w:rsidRPr="00EC7B62">
        <w:rPr>
          <w:sz w:val="24"/>
          <w:szCs w:val="24"/>
        </w:rPr>
        <w:t>:**.</w:t>
      </w:r>
    </w:p>
    <w:p w:rsidR="00EF6CCC" w:rsidRPr="00E2171C" w:rsidRDefault="00EF6CCC" w:rsidP="00EF6CCC">
      <w:pPr>
        <w:pStyle w:val="HistoricalNote"/>
        <w:spacing w:after="0"/>
        <w:ind w:firstLine="0"/>
        <w:jc w:val="left"/>
        <w:rPr>
          <w:sz w:val="24"/>
          <w:szCs w:val="24"/>
        </w:rPr>
      </w:pPr>
    </w:p>
    <w:p w:rsidR="00EF6CCC" w:rsidRDefault="00EF6CCC">
      <w:pPr>
        <w:rPr>
          <w:rFonts w:ascii="Arial" w:hAnsi="Arial" w:cs="Arial"/>
          <w:sz w:val="20"/>
          <w:szCs w:val="20"/>
        </w:rPr>
      </w:pPr>
    </w:p>
    <w:sectPr w:rsidR="00EF6CCC" w:rsidSect="00EF6CCC">
      <w:headerReference w:type="default" r:id="rId9"/>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CC" w:rsidRDefault="00EF6CCC" w:rsidP="00EF6CCC">
      <w:r>
        <w:separator/>
      </w:r>
    </w:p>
  </w:endnote>
  <w:endnote w:type="continuationSeparator" w:id="0">
    <w:p w:rsidR="00EF6CCC" w:rsidRDefault="00EF6CCC" w:rsidP="00EF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CC" w:rsidRDefault="00EF6CCC" w:rsidP="00EF6CCC">
      <w:r>
        <w:separator/>
      </w:r>
    </w:p>
  </w:footnote>
  <w:footnote w:type="continuationSeparator" w:id="0">
    <w:p w:rsidR="00EF6CCC" w:rsidRDefault="00EF6CCC" w:rsidP="00EF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CC" w:rsidRDefault="00EF6CCC">
    <w:pPr>
      <w:pStyle w:val="Header"/>
    </w:pPr>
    <w:r>
      <w:t>Proposed/January 20, 2016</w:t>
    </w:r>
    <w:r>
      <w:tab/>
    </w:r>
    <w:r>
      <w:tab/>
      <w:t>AQ358</w:t>
    </w:r>
  </w:p>
  <w:p w:rsidR="00EF6CCC" w:rsidRDefault="00EF6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4D5A"/>
    <w:rsid w:val="00005364"/>
    <w:rsid w:val="000126D0"/>
    <w:rsid w:val="00024BD6"/>
    <w:rsid w:val="000342D4"/>
    <w:rsid w:val="000353CB"/>
    <w:rsid w:val="0004418D"/>
    <w:rsid w:val="00053C35"/>
    <w:rsid w:val="0005446A"/>
    <w:rsid w:val="000724F8"/>
    <w:rsid w:val="00073134"/>
    <w:rsid w:val="000824EB"/>
    <w:rsid w:val="00092E49"/>
    <w:rsid w:val="000A4596"/>
    <w:rsid w:val="000C36AB"/>
    <w:rsid w:val="000C3B2D"/>
    <w:rsid w:val="000D30D8"/>
    <w:rsid w:val="00106EA2"/>
    <w:rsid w:val="001072DE"/>
    <w:rsid w:val="001232AE"/>
    <w:rsid w:val="001236BA"/>
    <w:rsid w:val="00133B87"/>
    <w:rsid w:val="00143717"/>
    <w:rsid w:val="00155BF0"/>
    <w:rsid w:val="00174ED9"/>
    <w:rsid w:val="0018027C"/>
    <w:rsid w:val="00190510"/>
    <w:rsid w:val="00191A90"/>
    <w:rsid w:val="0019352F"/>
    <w:rsid w:val="001A5E2C"/>
    <w:rsid w:val="001B4587"/>
    <w:rsid w:val="001B53BE"/>
    <w:rsid w:val="001B79A8"/>
    <w:rsid w:val="001C757F"/>
    <w:rsid w:val="001D0190"/>
    <w:rsid w:val="001D17C9"/>
    <w:rsid w:val="001D3AA1"/>
    <w:rsid w:val="001D56F6"/>
    <w:rsid w:val="001D77B4"/>
    <w:rsid w:val="001F6200"/>
    <w:rsid w:val="00202D7B"/>
    <w:rsid w:val="002056A5"/>
    <w:rsid w:val="00205F6A"/>
    <w:rsid w:val="00210F43"/>
    <w:rsid w:val="002116D7"/>
    <w:rsid w:val="0023015E"/>
    <w:rsid w:val="00240179"/>
    <w:rsid w:val="0024308A"/>
    <w:rsid w:val="00245CB3"/>
    <w:rsid w:val="002557BA"/>
    <w:rsid w:val="00260A44"/>
    <w:rsid w:val="0026650B"/>
    <w:rsid w:val="0028218F"/>
    <w:rsid w:val="002924F2"/>
    <w:rsid w:val="002951E9"/>
    <w:rsid w:val="00296DF3"/>
    <w:rsid w:val="00297865"/>
    <w:rsid w:val="002A6CA7"/>
    <w:rsid w:val="002B7ABF"/>
    <w:rsid w:val="002C2504"/>
    <w:rsid w:val="002C7327"/>
    <w:rsid w:val="002E4166"/>
    <w:rsid w:val="002E7C14"/>
    <w:rsid w:val="002F0328"/>
    <w:rsid w:val="002F1DFF"/>
    <w:rsid w:val="002F238A"/>
    <w:rsid w:val="002F6B52"/>
    <w:rsid w:val="00300FC2"/>
    <w:rsid w:val="00302C9C"/>
    <w:rsid w:val="00305A54"/>
    <w:rsid w:val="003066D4"/>
    <w:rsid w:val="00307383"/>
    <w:rsid w:val="00312DF3"/>
    <w:rsid w:val="00321E43"/>
    <w:rsid w:val="003300C7"/>
    <w:rsid w:val="00341FD5"/>
    <w:rsid w:val="003500B9"/>
    <w:rsid w:val="00376CF3"/>
    <w:rsid w:val="00386A11"/>
    <w:rsid w:val="00390EBC"/>
    <w:rsid w:val="00392C65"/>
    <w:rsid w:val="00393B98"/>
    <w:rsid w:val="00393C4F"/>
    <w:rsid w:val="003A005A"/>
    <w:rsid w:val="003A3288"/>
    <w:rsid w:val="003A4119"/>
    <w:rsid w:val="003A5BF5"/>
    <w:rsid w:val="003B2B55"/>
    <w:rsid w:val="003D1FD1"/>
    <w:rsid w:val="003D3AD8"/>
    <w:rsid w:val="003D4779"/>
    <w:rsid w:val="003D4978"/>
    <w:rsid w:val="003D7D24"/>
    <w:rsid w:val="003E41D6"/>
    <w:rsid w:val="003F07E1"/>
    <w:rsid w:val="003F5AAE"/>
    <w:rsid w:val="00404236"/>
    <w:rsid w:val="00405BB2"/>
    <w:rsid w:val="00410EBB"/>
    <w:rsid w:val="00411F35"/>
    <w:rsid w:val="00416895"/>
    <w:rsid w:val="00427F9C"/>
    <w:rsid w:val="00441CCB"/>
    <w:rsid w:val="00442690"/>
    <w:rsid w:val="004437A2"/>
    <w:rsid w:val="00450942"/>
    <w:rsid w:val="004517B8"/>
    <w:rsid w:val="00465C45"/>
    <w:rsid w:val="004920F6"/>
    <w:rsid w:val="00495B05"/>
    <w:rsid w:val="00496FB4"/>
    <w:rsid w:val="004A4D98"/>
    <w:rsid w:val="004A4E68"/>
    <w:rsid w:val="004A7336"/>
    <w:rsid w:val="004B3894"/>
    <w:rsid w:val="004D1BAE"/>
    <w:rsid w:val="004E09F3"/>
    <w:rsid w:val="004E179C"/>
    <w:rsid w:val="004E608F"/>
    <w:rsid w:val="004F0419"/>
    <w:rsid w:val="00511D9C"/>
    <w:rsid w:val="0052345E"/>
    <w:rsid w:val="00525046"/>
    <w:rsid w:val="0053096D"/>
    <w:rsid w:val="00530B46"/>
    <w:rsid w:val="00530D8F"/>
    <w:rsid w:val="00557E52"/>
    <w:rsid w:val="005669BB"/>
    <w:rsid w:val="0058138D"/>
    <w:rsid w:val="00582A02"/>
    <w:rsid w:val="00584EE2"/>
    <w:rsid w:val="005C0C31"/>
    <w:rsid w:val="005D171B"/>
    <w:rsid w:val="005D272D"/>
    <w:rsid w:val="005E511D"/>
    <w:rsid w:val="0060212A"/>
    <w:rsid w:val="00607D47"/>
    <w:rsid w:val="00612B19"/>
    <w:rsid w:val="00616D80"/>
    <w:rsid w:val="0062645A"/>
    <w:rsid w:val="00627B40"/>
    <w:rsid w:val="00633212"/>
    <w:rsid w:val="0064625A"/>
    <w:rsid w:val="006510B8"/>
    <w:rsid w:val="00656095"/>
    <w:rsid w:val="00667F5F"/>
    <w:rsid w:val="00687B38"/>
    <w:rsid w:val="00690E75"/>
    <w:rsid w:val="006A60FE"/>
    <w:rsid w:val="006B406B"/>
    <w:rsid w:val="006C21FF"/>
    <w:rsid w:val="006C6746"/>
    <w:rsid w:val="006C6BDD"/>
    <w:rsid w:val="006D1AFA"/>
    <w:rsid w:val="006E3237"/>
    <w:rsid w:val="006F07DC"/>
    <w:rsid w:val="006F7147"/>
    <w:rsid w:val="006F7E85"/>
    <w:rsid w:val="00700EB6"/>
    <w:rsid w:val="00703A79"/>
    <w:rsid w:val="007074B1"/>
    <w:rsid w:val="00713CC7"/>
    <w:rsid w:val="00713E47"/>
    <w:rsid w:val="007167AB"/>
    <w:rsid w:val="00727B1A"/>
    <w:rsid w:val="007403F0"/>
    <w:rsid w:val="00740967"/>
    <w:rsid w:val="00747B05"/>
    <w:rsid w:val="007503E4"/>
    <w:rsid w:val="00752532"/>
    <w:rsid w:val="0075408F"/>
    <w:rsid w:val="00757596"/>
    <w:rsid w:val="007660AE"/>
    <w:rsid w:val="007704D4"/>
    <w:rsid w:val="00775A2B"/>
    <w:rsid w:val="00782B42"/>
    <w:rsid w:val="007A2EC0"/>
    <w:rsid w:val="007A71F3"/>
    <w:rsid w:val="007A788D"/>
    <w:rsid w:val="007C405C"/>
    <w:rsid w:val="007D04D9"/>
    <w:rsid w:val="007D1717"/>
    <w:rsid w:val="007D4989"/>
    <w:rsid w:val="007D589A"/>
    <w:rsid w:val="007F2DFA"/>
    <w:rsid w:val="007F723A"/>
    <w:rsid w:val="00806BC9"/>
    <w:rsid w:val="00811699"/>
    <w:rsid w:val="00816574"/>
    <w:rsid w:val="0082208D"/>
    <w:rsid w:val="00825808"/>
    <w:rsid w:val="008264B8"/>
    <w:rsid w:val="008316F5"/>
    <w:rsid w:val="00831A4E"/>
    <w:rsid w:val="00833C61"/>
    <w:rsid w:val="008447EA"/>
    <w:rsid w:val="00845F26"/>
    <w:rsid w:val="00871A6B"/>
    <w:rsid w:val="0087540C"/>
    <w:rsid w:val="0087639D"/>
    <w:rsid w:val="008828A6"/>
    <w:rsid w:val="00894009"/>
    <w:rsid w:val="00897F8A"/>
    <w:rsid w:val="008A6164"/>
    <w:rsid w:val="008C31F3"/>
    <w:rsid w:val="008C393C"/>
    <w:rsid w:val="008D126D"/>
    <w:rsid w:val="008F13D6"/>
    <w:rsid w:val="008F1B9C"/>
    <w:rsid w:val="008F1E54"/>
    <w:rsid w:val="008F4313"/>
    <w:rsid w:val="008F7654"/>
    <w:rsid w:val="008F7862"/>
    <w:rsid w:val="00901D1E"/>
    <w:rsid w:val="0092093A"/>
    <w:rsid w:val="00920B7C"/>
    <w:rsid w:val="00920FB5"/>
    <w:rsid w:val="0092181A"/>
    <w:rsid w:val="009262A0"/>
    <w:rsid w:val="00931B54"/>
    <w:rsid w:val="00943CEB"/>
    <w:rsid w:val="009441EF"/>
    <w:rsid w:val="009452B6"/>
    <w:rsid w:val="00947A0F"/>
    <w:rsid w:val="0096042C"/>
    <w:rsid w:val="00965739"/>
    <w:rsid w:val="00965979"/>
    <w:rsid w:val="009874DD"/>
    <w:rsid w:val="009925FC"/>
    <w:rsid w:val="00992D89"/>
    <w:rsid w:val="009A1785"/>
    <w:rsid w:val="009A1AE8"/>
    <w:rsid w:val="009B0891"/>
    <w:rsid w:val="009C152F"/>
    <w:rsid w:val="009C2423"/>
    <w:rsid w:val="009C3735"/>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A1363"/>
    <w:rsid w:val="00AA6B49"/>
    <w:rsid w:val="00AA7881"/>
    <w:rsid w:val="00AB172A"/>
    <w:rsid w:val="00AB17D6"/>
    <w:rsid w:val="00AB6F63"/>
    <w:rsid w:val="00AC1AC1"/>
    <w:rsid w:val="00AD073F"/>
    <w:rsid w:val="00AD366F"/>
    <w:rsid w:val="00AE6D6D"/>
    <w:rsid w:val="00AE7F03"/>
    <w:rsid w:val="00AF0312"/>
    <w:rsid w:val="00AF78BB"/>
    <w:rsid w:val="00B04975"/>
    <w:rsid w:val="00B053D7"/>
    <w:rsid w:val="00B078D8"/>
    <w:rsid w:val="00B118A8"/>
    <w:rsid w:val="00B25C2A"/>
    <w:rsid w:val="00B4354D"/>
    <w:rsid w:val="00B43654"/>
    <w:rsid w:val="00B43842"/>
    <w:rsid w:val="00B53EBD"/>
    <w:rsid w:val="00B553CF"/>
    <w:rsid w:val="00B75505"/>
    <w:rsid w:val="00B93681"/>
    <w:rsid w:val="00B93E2B"/>
    <w:rsid w:val="00BB6A8B"/>
    <w:rsid w:val="00BC6B6F"/>
    <w:rsid w:val="00BD0874"/>
    <w:rsid w:val="00BD6757"/>
    <w:rsid w:val="00BE0BC6"/>
    <w:rsid w:val="00BE47ED"/>
    <w:rsid w:val="00BF56F8"/>
    <w:rsid w:val="00C2125B"/>
    <w:rsid w:val="00C30C92"/>
    <w:rsid w:val="00C316E8"/>
    <w:rsid w:val="00C35371"/>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23BFC"/>
    <w:rsid w:val="00D34ACC"/>
    <w:rsid w:val="00D37C61"/>
    <w:rsid w:val="00D707CE"/>
    <w:rsid w:val="00D743A5"/>
    <w:rsid w:val="00D748A9"/>
    <w:rsid w:val="00D7657A"/>
    <w:rsid w:val="00D768D6"/>
    <w:rsid w:val="00D8549E"/>
    <w:rsid w:val="00D87497"/>
    <w:rsid w:val="00DB426A"/>
    <w:rsid w:val="00DB6B80"/>
    <w:rsid w:val="00DD28A5"/>
    <w:rsid w:val="00DD48E2"/>
    <w:rsid w:val="00DD684C"/>
    <w:rsid w:val="00DE19EC"/>
    <w:rsid w:val="00DF30C7"/>
    <w:rsid w:val="00E02FFB"/>
    <w:rsid w:val="00E036DB"/>
    <w:rsid w:val="00E21657"/>
    <w:rsid w:val="00E253E5"/>
    <w:rsid w:val="00E265CB"/>
    <w:rsid w:val="00E353C3"/>
    <w:rsid w:val="00E63E72"/>
    <w:rsid w:val="00E67F21"/>
    <w:rsid w:val="00E94BF4"/>
    <w:rsid w:val="00EA3713"/>
    <w:rsid w:val="00EC3052"/>
    <w:rsid w:val="00ED363A"/>
    <w:rsid w:val="00ED59AB"/>
    <w:rsid w:val="00EE280A"/>
    <w:rsid w:val="00EF36C1"/>
    <w:rsid w:val="00EF6AB3"/>
    <w:rsid w:val="00EF6CCC"/>
    <w:rsid w:val="00F05BD4"/>
    <w:rsid w:val="00F16DAB"/>
    <w:rsid w:val="00F200A4"/>
    <w:rsid w:val="00F212EC"/>
    <w:rsid w:val="00F238CC"/>
    <w:rsid w:val="00F33F58"/>
    <w:rsid w:val="00F36382"/>
    <w:rsid w:val="00F50A56"/>
    <w:rsid w:val="00F61489"/>
    <w:rsid w:val="00F652EE"/>
    <w:rsid w:val="00F65370"/>
    <w:rsid w:val="00F7136D"/>
    <w:rsid w:val="00F727E6"/>
    <w:rsid w:val="00F73292"/>
    <w:rsid w:val="00F92424"/>
    <w:rsid w:val="00F9372A"/>
    <w:rsid w:val="00F94AD8"/>
    <w:rsid w:val="00FA1E61"/>
    <w:rsid w:val="00FA23EB"/>
    <w:rsid w:val="00FA5147"/>
    <w:rsid w:val="00FB750D"/>
    <w:rsid w:val="00FC1876"/>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EF6CCC"/>
    <w:pPr>
      <w:jc w:val="center"/>
    </w:pPr>
    <w:rPr>
      <w:szCs w:val="20"/>
    </w:rPr>
  </w:style>
  <w:style w:type="character" w:customStyle="1" w:styleId="TitleChar">
    <w:name w:val="Title Char"/>
    <w:basedOn w:val="DefaultParagraphFont"/>
    <w:link w:val="Title"/>
    <w:rsid w:val="00EF6CCC"/>
    <w:rPr>
      <w:sz w:val="24"/>
    </w:rPr>
  </w:style>
  <w:style w:type="paragraph" w:styleId="Header">
    <w:name w:val="header"/>
    <w:basedOn w:val="Normal"/>
    <w:link w:val="HeaderChar"/>
    <w:uiPriority w:val="99"/>
    <w:rsid w:val="00EF6CCC"/>
    <w:pPr>
      <w:tabs>
        <w:tab w:val="center" w:pos="4680"/>
        <w:tab w:val="right" w:pos="9360"/>
      </w:tabs>
    </w:pPr>
  </w:style>
  <w:style w:type="character" w:customStyle="1" w:styleId="HeaderChar">
    <w:name w:val="Header Char"/>
    <w:basedOn w:val="DefaultParagraphFont"/>
    <w:link w:val="Header"/>
    <w:uiPriority w:val="99"/>
    <w:rsid w:val="00EF6CCC"/>
    <w:rPr>
      <w:sz w:val="24"/>
      <w:szCs w:val="24"/>
    </w:rPr>
  </w:style>
  <w:style w:type="paragraph" w:styleId="Footer">
    <w:name w:val="footer"/>
    <w:basedOn w:val="Normal"/>
    <w:link w:val="FooterChar"/>
    <w:rsid w:val="00EF6CCC"/>
    <w:pPr>
      <w:tabs>
        <w:tab w:val="center" w:pos="4680"/>
        <w:tab w:val="right" w:pos="9360"/>
      </w:tabs>
    </w:pPr>
  </w:style>
  <w:style w:type="character" w:customStyle="1" w:styleId="FooterChar">
    <w:name w:val="Footer Char"/>
    <w:basedOn w:val="DefaultParagraphFont"/>
    <w:link w:val="Footer"/>
    <w:rsid w:val="00EF6CCC"/>
    <w:rPr>
      <w:sz w:val="24"/>
      <w:szCs w:val="24"/>
    </w:rPr>
  </w:style>
  <w:style w:type="paragraph" w:customStyle="1" w:styleId="Section">
    <w:name w:val="Section"/>
    <w:basedOn w:val="Normal"/>
    <w:rsid w:val="00EF6CC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EF6CCC"/>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EF6CCC"/>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EF6CCC"/>
    <w:pPr>
      <w:keepNext/>
      <w:keepLines/>
      <w:spacing w:after="120"/>
      <w:outlineLvl w:val="0"/>
    </w:pPr>
    <w:rPr>
      <w:b/>
      <w:kern w:val="2"/>
      <w:sz w:val="28"/>
    </w:rPr>
  </w:style>
  <w:style w:type="paragraph" w:customStyle="1" w:styleId="TOCPart">
    <w:name w:val="TOCPart"/>
    <w:rsid w:val="00EF6CCC"/>
    <w:pPr>
      <w:keepNext/>
      <w:keepLines/>
      <w:spacing w:before="240" w:after="240"/>
      <w:jc w:val="center"/>
    </w:pPr>
    <w:rPr>
      <w:b/>
      <w:noProof/>
      <w:sz w:val="28"/>
    </w:rPr>
  </w:style>
  <w:style w:type="paragraph" w:customStyle="1" w:styleId="Chapter">
    <w:name w:val="Chapter"/>
    <w:basedOn w:val="Normal"/>
    <w:rsid w:val="00EF6CC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EF6CCC"/>
    <w:rPr>
      <w:kern w:val="2"/>
    </w:rPr>
  </w:style>
  <w:style w:type="character" w:customStyle="1" w:styleId="HistoricalNoteChar">
    <w:name w:val="Historical Note Char"/>
    <w:link w:val="HistoricalNote"/>
    <w:rsid w:val="00EF6CCC"/>
    <w:rPr>
      <w:kern w:val="2"/>
      <w:sz w:val="18"/>
    </w:rPr>
  </w:style>
  <w:style w:type="character" w:customStyle="1" w:styleId="AuthorityNoteChar">
    <w:name w:val="Authority Note Char"/>
    <w:link w:val="AuthorityNote"/>
    <w:locked/>
    <w:rsid w:val="00EF6CCC"/>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EF6CCC"/>
    <w:pPr>
      <w:jc w:val="center"/>
    </w:pPr>
    <w:rPr>
      <w:szCs w:val="20"/>
    </w:rPr>
  </w:style>
  <w:style w:type="character" w:customStyle="1" w:styleId="TitleChar">
    <w:name w:val="Title Char"/>
    <w:basedOn w:val="DefaultParagraphFont"/>
    <w:link w:val="Title"/>
    <w:rsid w:val="00EF6CCC"/>
    <w:rPr>
      <w:sz w:val="24"/>
    </w:rPr>
  </w:style>
  <w:style w:type="paragraph" w:styleId="Header">
    <w:name w:val="header"/>
    <w:basedOn w:val="Normal"/>
    <w:link w:val="HeaderChar"/>
    <w:uiPriority w:val="99"/>
    <w:rsid w:val="00EF6CCC"/>
    <w:pPr>
      <w:tabs>
        <w:tab w:val="center" w:pos="4680"/>
        <w:tab w:val="right" w:pos="9360"/>
      </w:tabs>
    </w:pPr>
  </w:style>
  <w:style w:type="character" w:customStyle="1" w:styleId="HeaderChar">
    <w:name w:val="Header Char"/>
    <w:basedOn w:val="DefaultParagraphFont"/>
    <w:link w:val="Header"/>
    <w:uiPriority w:val="99"/>
    <w:rsid w:val="00EF6CCC"/>
    <w:rPr>
      <w:sz w:val="24"/>
      <w:szCs w:val="24"/>
    </w:rPr>
  </w:style>
  <w:style w:type="paragraph" w:styleId="Footer">
    <w:name w:val="footer"/>
    <w:basedOn w:val="Normal"/>
    <w:link w:val="FooterChar"/>
    <w:rsid w:val="00EF6CCC"/>
    <w:pPr>
      <w:tabs>
        <w:tab w:val="center" w:pos="4680"/>
        <w:tab w:val="right" w:pos="9360"/>
      </w:tabs>
    </w:pPr>
  </w:style>
  <w:style w:type="character" w:customStyle="1" w:styleId="FooterChar">
    <w:name w:val="Footer Char"/>
    <w:basedOn w:val="DefaultParagraphFont"/>
    <w:link w:val="Footer"/>
    <w:rsid w:val="00EF6CCC"/>
    <w:rPr>
      <w:sz w:val="24"/>
      <w:szCs w:val="24"/>
    </w:rPr>
  </w:style>
  <w:style w:type="paragraph" w:customStyle="1" w:styleId="Section">
    <w:name w:val="Section"/>
    <w:basedOn w:val="Normal"/>
    <w:rsid w:val="00EF6CC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EF6CCC"/>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EF6CCC"/>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EF6C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EF6CCC"/>
    <w:pPr>
      <w:keepNext/>
      <w:keepLines/>
      <w:spacing w:after="120"/>
      <w:outlineLvl w:val="0"/>
    </w:pPr>
    <w:rPr>
      <w:b/>
      <w:kern w:val="2"/>
      <w:sz w:val="28"/>
    </w:rPr>
  </w:style>
  <w:style w:type="paragraph" w:customStyle="1" w:styleId="TOCPart">
    <w:name w:val="TOCPart"/>
    <w:rsid w:val="00EF6CCC"/>
    <w:pPr>
      <w:keepNext/>
      <w:keepLines/>
      <w:spacing w:before="240" w:after="240"/>
      <w:jc w:val="center"/>
    </w:pPr>
    <w:rPr>
      <w:b/>
      <w:noProof/>
      <w:sz w:val="28"/>
    </w:rPr>
  </w:style>
  <w:style w:type="paragraph" w:customStyle="1" w:styleId="Chapter">
    <w:name w:val="Chapter"/>
    <w:basedOn w:val="Normal"/>
    <w:rsid w:val="00EF6CC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EF6CCC"/>
    <w:rPr>
      <w:kern w:val="2"/>
    </w:rPr>
  </w:style>
  <w:style w:type="character" w:customStyle="1" w:styleId="HistoricalNoteChar">
    <w:name w:val="Historical Note Char"/>
    <w:link w:val="HistoricalNote"/>
    <w:rsid w:val="00EF6CCC"/>
    <w:rPr>
      <w:kern w:val="2"/>
      <w:sz w:val="18"/>
    </w:rPr>
  </w:style>
  <w:style w:type="character" w:customStyle="1" w:styleId="AuthorityNoteChar">
    <w:name w:val="Authority Note Char"/>
    <w:link w:val="AuthorityNote"/>
    <w:locked/>
    <w:rsid w:val="00EF6CC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9DBA-CBF3-4184-BD11-C923E7A3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2016-01-04T14:57:00Z</cp:lastPrinted>
  <dcterms:created xsi:type="dcterms:W3CDTF">2016-04-07T14:09:00Z</dcterms:created>
  <dcterms:modified xsi:type="dcterms:W3CDTF">2016-04-07T14:09:00Z</dcterms:modified>
</cp:coreProperties>
</file>