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EB" w:rsidRDefault="009454EB" w:rsidP="009454EB">
      <w:pPr>
        <w:pStyle w:val="Title"/>
      </w:pPr>
      <w:r>
        <w:t>NOTICE OF INTENT</w:t>
      </w:r>
    </w:p>
    <w:p w:rsidR="009454EB" w:rsidRDefault="009454EB" w:rsidP="009454EB">
      <w:pPr>
        <w:jc w:val="center"/>
      </w:pPr>
    </w:p>
    <w:p w:rsidR="009454EB" w:rsidRDefault="009454EB" w:rsidP="009454EB">
      <w:pPr>
        <w:jc w:val="center"/>
      </w:pPr>
      <w:r>
        <w:t>Department of Environmental Quality</w:t>
      </w:r>
    </w:p>
    <w:p w:rsidR="009454EB" w:rsidRDefault="009454EB" w:rsidP="009454EB">
      <w:pPr>
        <w:jc w:val="center"/>
      </w:pPr>
      <w:r>
        <w:t>Office of the Secretary</w:t>
      </w:r>
    </w:p>
    <w:p w:rsidR="009454EB" w:rsidRDefault="009454EB" w:rsidP="009454EB">
      <w:pPr>
        <w:jc w:val="center"/>
      </w:pPr>
      <w:r>
        <w:t>Legal Division</w:t>
      </w:r>
    </w:p>
    <w:p w:rsidR="009454EB" w:rsidRDefault="009454EB" w:rsidP="009454EB">
      <w:pPr>
        <w:jc w:val="center"/>
      </w:pPr>
    </w:p>
    <w:p w:rsidR="009454EB" w:rsidRDefault="009454EB" w:rsidP="009454EB">
      <w:pPr>
        <w:jc w:val="center"/>
      </w:pPr>
      <w:r w:rsidRPr="005D529F">
        <w:rPr>
          <w:noProof/>
        </w:rPr>
        <w:t>Repeal of LAC 33:III.1107.A</w:t>
      </w:r>
    </w:p>
    <w:p w:rsidR="009454EB" w:rsidRDefault="009454EB" w:rsidP="009454EB">
      <w:pPr>
        <w:jc w:val="center"/>
      </w:pPr>
      <w:r>
        <w:t>(</w:t>
      </w:r>
      <w:r w:rsidRPr="005D529F">
        <w:rPr>
          <w:noProof/>
        </w:rPr>
        <w:t xml:space="preserve">LAC 33:III.1105.A </w:t>
      </w:r>
      <w:r>
        <w:rPr>
          <w:noProof/>
        </w:rPr>
        <w:t>and</w:t>
      </w:r>
      <w:r w:rsidRPr="005D529F">
        <w:rPr>
          <w:noProof/>
        </w:rPr>
        <w:t xml:space="preserve"> 1107.A</w:t>
      </w:r>
      <w:r>
        <w:t>) (</w:t>
      </w:r>
      <w:r w:rsidRPr="005D529F">
        <w:rPr>
          <w:noProof/>
        </w:rPr>
        <w:t>AQ361</w:t>
      </w:r>
      <w:r>
        <w:t>)</w:t>
      </w:r>
    </w:p>
    <w:p w:rsidR="009454EB" w:rsidRDefault="009454EB" w:rsidP="009454EB">
      <w:pPr>
        <w:jc w:val="center"/>
      </w:pPr>
    </w:p>
    <w:p w:rsidR="009454EB" w:rsidRDefault="009454EB" w:rsidP="009454EB">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5D529F">
        <w:rPr>
          <w:noProof/>
        </w:rPr>
        <w:t>Air</w:t>
      </w:r>
      <w:r>
        <w:t xml:space="preserve"> regulations, </w:t>
      </w:r>
      <w:r w:rsidRPr="005D529F">
        <w:rPr>
          <w:noProof/>
        </w:rPr>
        <w:t xml:space="preserve">LAC 33:III.1105.A </w:t>
      </w:r>
      <w:r>
        <w:rPr>
          <w:noProof/>
        </w:rPr>
        <w:t>and</w:t>
      </w:r>
      <w:r w:rsidRPr="005D529F">
        <w:rPr>
          <w:noProof/>
        </w:rPr>
        <w:t xml:space="preserve"> 1107.A</w:t>
      </w:r>
      <w:r>
        <w:t xml:space="preserve"> (</w:t>
      </w:r>
      <w:r w:rsidRPr="005D529F">
        <w:rPr>
          <w:noProof/>
        </w:rPr>
        <w:t>AQ361</w:t>
      </w:r>
      <w:r>
        <w:t>).</w:t>
      </w:r>
    </w:p>
    <w:p w:rsidR="009454EB" w:rsidRDefault="009454EB" w:rsidP="009454EB"/>
    <w:p w:rsidR="009454EB" w:rsidRPr="005D529F" w:rsidRDefault="009454EB" w:rsidP="009454EB">
      <w:pPr>
        <w:rPr>
          <w:noProof/>
        </w:rPr>
      </w:pPr>
      <w:r>
        <w:tab/>
      </w:r>
      <w:r w:rsidRPr="005D529F">
        <w:rPr>
          <w:noProof/>
        </w:rPr>
        <w:t xml:space="preserve">This Rule will repeal LAC 33:III.1107.A. </w:t>
      </w:r>
      <w:r>
        <w:rPr>
          <w:noProof/>
        </w:rPr>
        <w:t xml:space="preserve"> The relevant part of </w:t>
      </w:r>
      <w:r w:rsidRPr="005D529F">
        <w:rPr>
          <w:noProof/>
        </w:rPr>
        <w:t>LAC 33:III.1105 (Smoke from Flaring Shall Not Exceed 20 Percent Opacity) provides that the</w:t>
      </w:r>
      <w:r>
        <w:rPr>
          <w:noProof/>
        </w:rPr>
        <w:t>,</w:t>
      </w:r>
      <w:r w:rsidRPr="005D529F">
        <w:rPr>
          <w:noProof/>
        </w:rPr>
        <w:t xml:space="preserve"> “emission of smoke from a flare or other similar device used for burning in connection with pressure valve releases for control over process upsets shall be controlled so that the shade or appearance of the emission does not exceed 20 percent opacity … for a combined total of six hours in any 10 consecutive days.”</w:t>
      </w:r>
    </w:p>
    <w:p w:rsidR="009454EB" w:rsidRPr="005D529F" w:rsidRDefault="009454EB" w:rsidP="009454EB">
      <w:pPr>
        <w:rPr>
          <w:noProof/>
        </w:rPr>
      </w:pPr>
    </w:p>
    <w:p w:rsidR="009454EB" w:rsidRPr="005D529F" w:rsidRDefault="009454EB" w:rsidP="009454EB">
      <w:pPr>
        <w:ind w:firstLine="720"/>
        <w:rPr>
          <w:noProof/>
        </w:rPr>
      </w:pPr>
      <w:r w:rsidRPr="005D529F">
        <w:rPr>
          <w:noProof/>
        </w:rPr>
        <w:t>LAC 33:III.1107.A allows LDEQ to grant an exemption from the provisions of LAC 33:III.1105 “during start-up and shutdown periods if the flaring was not the result of failure to maintain or repair equipment.”  This exemption was approved by EPA into Louisiana’s State Implementation Plan (SIP) on July 5, 2011 (76 FR 38977).</w:t>
      </w:r>
    </w:p>
    <w:p w:rsidR="009454EB" w:rsidRPr="005D529F" w:rsidRDefault="009454EB" w:rsidP="009454EB">
      <w:pPr>
        <w:rPr>
          <w:noProof/>
        </w:rPr>
      </w:pPr>
    </w:p>
    <w:p w:rsidR="009454EB" w:rsidRPr="005D529F" w:rsidRDefault="009454EB" w:rsidP="009454EB">
      <w:pPr>
        <w:ind w:firstLine="720"/>
        <w:rPr>
          <w:noProof/>
        </w:rPr>
      </w:pPr>
      <w:r w:rsidRPr="005D529F">
        <w:rPr>
          <w:noProof/>
        </w:rPr>
        <w:t xml:space="preserve">However, on June 12, 2015, EPA promulgated a rule* finding that several Louisiana air quality regulations, including LAC 33:III.1507.A </w:t>
      </w:r>
      <w:r>
        <w:rPr>
          <w:noProof/>
        </w:rPr>
        <w:t>and</w:t>
      </w:r>
      <w:r w:rsidRPr="005D529F">
        <w:rPr>
          <w:noProof/>
        </w:rPr>
        <w:t xml:space="preserve"> B, are “substantially inadequate to meet [Clean Air Act] requirements” because they provide “impermissible discretionary exemptions” from “otherwise applicable SIP emission limitations.”  Consequently, EPA issued a “SIP call” directing affected states to submit corrective SIP revisions by November 22, 2016.</w:t>
      </w:r>
    </w:p>
    <w:p w:rsidR="009454EB" w:rsidRPr="005D529F" w:rsidRDefault="009454EB" w:rsidP="009454EB">
      <w:pPr>
        <w:rPr>
          <w:noProof/>
        </w:rPr>
      </w:pPr>
    </w:p>
    <w:p w:rsidR="009454EB" w:rsidRPr="005D529F" w:rsidRDefault="009454EB" w:rsidP="009454EB">
      <w:pPr>
        <w:ind w:firstLine="720"/>
        <w:rPr>
          <w:noProof/>
        </w:rPr>
      </w:pPr>
      <w:r w:rsidRPr="005D529F">
        <w:rPr>
          <w:noProof/>
        </w:rPr>
        <w:t>In response to EPA’s SIP call, LDEQ will repeal LAC 33:III.1107.A for two primary reasons.  One, there is incongruity between the provisions of LAC 33:III.1105 and LAC 33:III.1107.A</w:t>
      </w:r>
      <w:r>
        <w:rPr>
          <w:noProof/>
        </w:rPr>
        <w:t>.</w:t>
      </w:r>
      <w:r w:rsidRPr="005D529F">
        <w:rPr>
          <w:noProof/>
        </w:rPr>
        <w:t xml:space="preserve"> </w:t>
      </w:r>
      <w:r>
        <w:rPr>
          <w:noProof/>
        </w:rPr>
        <w:t xml:space="preserve"> LAC 33:III.</w:t>
      </w:r>
      <w:r w:rsidRPr="005D529F">
        <w:rPr>
          <w:noProof/>
        </w:rPr>
        <w:t>1105 applies to flaring in connection with process upsets, whereas 1107.A addresses startup and shutdown periods (not malfunctions or upsets).  Two, other standards for flares that are commonly applicable, such as 40 CFR 63.11(b)(4), require the control device to “be designed for and operated with no visible emissions, except for periods not to exceed a total of 5 minutes during any 2 consecutive hours.”</w:t>
      </w:r>
    </w:p>
    <w:p w:rsidR="009454EB" w:rsidRPr="005D529F" w:rsidRDefault="009454EB" w:rsidP="009454EB">
      <w:pPr>
        <w:rPr>
          <w:noProof/>
        </w:rPr>
      </w:pPr>
    </w:p>
    <w:p w:rsidR="009454EB" w:rsidRDefault="009454EB" w:rsidP="009454EB">
      <w:pPr>
        <w:ind w:left="720"/>
      </w:pPr>
      <w:r w:rsidRPr="005D529F">
        <w:rPr>
          <w:noProof/>
        </w:rPr>
        <w:t xml:space="preserve">* </w:t>
      </w:r>
      <w:r w:rsidRPr="005D529F">
        <w:rPr>
          <w:noProof/>
        </w:rPr>
        <w:tab/>
        <w:t>State Implementation Plans: Response to Petition for Rulemaking; Restatement and Update of EPA’s SSM Policy Applicable to SIPs; Findings of Substantial Inadequacy; and SIP Calls To Amend Provisions Applying to Excess Emissions During Periods of Startup, Shutdown and Malfunction</w:t>
      </w:r>
      <w:r>
        <w:rPr>
          <w:noProof/>
        </w:rPr>
        <w:t xml:space="preserve"> </w:t>
      </w:r>
      <w:r w:rsidRPr="005D529F">
        <w:rPr>
          <w:noProof/>
        </w:rPr>
        <w:t>[80 FR 33840]</w:t>
      </w:r>
      <w:r>
        <w:t xml:space="preserve">  </w:t>
      </w:r>
    </w:p>
    <w:p w:rsidR="009454EB" w:rsidRDefault="009454EB" w:rsidP="009454EB">
      <w:pPr>
        <w:ind w:left="720"/>
      </w:pPr>
    </w:p>
    <w:p w:rsidR="009454EB" w:rsidRDefault="009454EB" w:rsidP="009454EB">
      <w:pPr>
        <w:ind w:firstLine="720"/>
      </w:pPr>
      <w:r w:rsidRPr="005D529F">
        <w:rPr>
          <w:noProof/>
        </w:rPr>
        <w:lastRenderedPageBreak/>
        <w:t>The basis and rationale for this rule are to repeal the exemption provided by LAC 33:III.1107.A in order to comply with EPA’s SIP call.</w:t>
      </w:r>
      <w:r>
        <w:t xml:space="preserve">  This Rule meets an exception listed in R.S. 30:2019(D</w:t>
      </w:r>
      <w:proofErr w:type="gramStart"/>
      <w:r>
        <w:t>)(</w:t>
      </w:r>
      <w:proofErr w:type="gramEnd"/>
      <w:r>
        <w:t xml:space="preserve">2) and R.S. 49:953(G)(3); therefore, no report regarding environmental/health benefits and social/economic costs is required.  </w:t>
      </w:r>
    </w:p>
    <w:p w:rsidR="009454EB" w:rsidRDefault="009454EB" w:rsidP="009454EB"/>
    <w:p w:rsidR="009454EB" w:rsidRDefault="009454EB" w:rsidP="009454EB">
      <w:pPr>
        <w:ind w:firstLine="720"/>
      </w:pPr>
      <w:r>
        <w:t xml:space="preserve">This Rule has no known impact on family formation, stability, and autonomy as described in R.S. 49:972. </w:t>
      </w:r>
    </w:p>
    <w:p w:rsidR="009454EB" w:rsidRDefault="009454EB" w:rsidP="009454EB">
      <w:pPr>
        <w:ind w:firstLine="720"/>
      </w:pPr>
    </w:p>
    <w:p w:rsidR="009454EB" w:rsidRDefault="009454EB" w:rsidP="009454EB">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9454EB" w:rsidRDefault="009454EB" w:rsidP="009454EB">
      <w:pPr>
        <w:ind w:firstLine="720"/>
        <w:rPr>
          <w:color w:val="000000"/>
        </w:rPr>
      </w:pPr>
    </w:p>
    <w:p w:rsidR="009454EB" w:rsidRPr="00E36F02" w:rsidRDefault="009454EB" w:rsidP="009454EB">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9454EB" w:rsidRDefault="009454EB" w:rsidP="009454EB"/>
    <w:p w:rsidR="009454EB" w:rsidRDefault="009454EB" w:rsidP="009454EB">
      <w:r>
        <w:tab/>
        <w:t>A public hearing will be held on May</w:t>
      </w:r>
      <w:r>
        <w:rPr>
          <w:noProof/>
        </w:rPr>
        <w:t xml:space="preserve"> 25, 2016</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Interested persons are invited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rsidR="009454EB" w:rsidRDefault="009454EB" w:rsidP="009454EB"/>
    <w:p w:rsidR="009454EB" w:rsidRDefault="009454EB" w:rsidP="009454EB">
      <w:r>
        <w:tab/>
        <w:t xml:space="preserve">All interested persons are invited to submit written comments on the proposed regulation. Persons commenting should reference this proposed regulation by </w:t>
      </w:r>
      <w:r w:rsidRPr="005D529F">
        <w:rPr>
          <w:noProof/>
        </w:rPr>
        <w:t>AQ361</w:t>
      </w:r>
      <w:r>
        <w:t>.  Such comments must be received no later than June</w:t>
      </w:r>
      <w:r>
        <w:rPr>
          <w:noProof/>
        </w:rPr>
        <w:t xml:space="preserve"> 1, 2016</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5D529F">
        <w:rPr>
          <w:noProof/>
        </w:rPr>
        <w:t>AQ361</w:t>
      </w:r>
      <w:r>
        <w:t xml:space="preserve">. These proposed regulations are available on the Internet at </w:t>
      </w:r>
      <w:hyperlink r:id="rId9" w:history="1">
        <w:r w:rsidRPr="00D80924">
          <w:rPr>
            <w:rStyle w:val="Hyperlink"/>
          </w:rPr>
          <w:t>www.deq.louisiana.gov/portal/tabid/</w:t>
        </w:r>
        <w:r>
          <w:rPr>
            <w:rStyle w:val="Hyperlink"/>
          </w:rPr>
          <w:t>1669</w:t>
        </w:r>
        <w:r w:rsidRPr="00D80924">
          <w:rPr>
            <w:rStyle w:val="Hyperlink"/>
          </w:rPr>
          <w:t>/default.aspx</w:t>
        </w:r>
      </w:hyperlink>
      <w:r>
        <w:t>.</w:t>
      </w:r>
    </w:p>
    <w:p w:rsidR="009454EB" w:rsidRDefault="009454EB" w:rsidP="009454EB"/>
    <w:p w:rsidR="009454EB" w:rsidRDefault="009454EB" w:rsidP="009454EB">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201 Evans Road, Bldg. 4, Suite 420, New Orleans, LA  70123.</w:t>
      </w:r>
    </w:p>
    <w:p w:rsidR="009454EB" w:rsidRDefault="009454EB" w:rsidP="009454EB"/>
    <w:p w:rsidR="009454EB" w:rsidRDefault="009454EB" w:rsidP="009454EB">
      <w:r>
        <w:tab/>
      </w:r>
      <w:r>
        <w:tab/>
      </w:r>
      <w:r>
        <w:tab/>
      </w:r>
      <w:r>
        <w:tab/>
      </w:r>
      <w:r>
        <w:tab/>
      </w:r>
      <w:r>
        <w:tab/>
        <w:t>Herman Robinson</w:t>
      </w:r>
    </w:p>
    <w:p w:rsidR="009454EB" w:rsidRDefault="009454EB" w:rsidP="009454EB">
      <w:r>
        <w:tab/>
      </w:r>
      <w:r>
        <w:tab/>
      </w:r>
      <w:r>
        <w:tab/>
      </w:r>
      <w:r>
        <w:tab/>
      </w:r>
      <w:r>
        <w:tab/>
      </w:r>
      <w:r>
        <w:tab/>
        <w:t>General Counsel</w:t>
      </w:r>
    </w:p>
    <w:p w:rsidR="009454EB" w:rsidRDefault="009454EB">
      <w:r>
        <w:br w:type="page"/>
      </w:r>
    </w:p>
    <w:p w:rsidR="009454EB" w:rsidRDefault="009454EB" w:rsidP="009454EB"/>
    <w:p w:rsidR="009454EB" w:rsidRPr="00214D24" w:rsidRDefault="009454EB" w:rsidP="009454EB">
      <w:pPr>
        <w:pStyle w:val="TOCPart"/>
        <w:spacing w:before="0" w:after="0"/>
        <w:rPr>
          <w:szCs w:val="28"/>
        </w:rPr>
      </w:pPr>
      <w:r w:rsidRPr="00214D24">
        <w:rPr>
          <w:szCs w:val="28"/>
        </w:rPr>
        <w:t>Title 33</w:t>
      </w:r>
    </w:p>
    <w:p w:rsidR="009454EB" w:rsidRPr="00214D24" w:rsidRDefault="009454EB" w:rsidP="009454EB">
      <w:pPr>
        <w:pStyle w:val="Part"/>
        <w:spacing w:after="0"/>
        <w:rPr>
          <w:szCs w:val="28"/>
        </w:rPr>
      </w:pPr>
      <w:r w:rsidRPr="00214D24">
        <w:rPr>
          <w:szCs w:val="28"/>
        </w:rPr>
        <w:t>ENVIRONMENTAL QUALITY</w:t>
      </w:r>
    </w:p>
    <w:p w:rsidR="009454EB" w:rsidRPr="00214D24" w:rsidRDefault="009454EB" w:rsidP="009454E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8"/>
          <w:szCs w:val="28"/>
        </w:rPr>
      </w:pPr>
      <w:r w:rsidRPr="00214D24">
        <w:rPr>
          <w:sz w:val="28"/>
          <w:szCs w:val="28"/>
        </w:rPr>
        <w:t>Part III.  Air</w:t>
      </w:r>
    </w:p>
    <w:p w:rsidR="009454EB" w:rsidRPr="00214D24" w:rsidRDefault="009454EB" w:rsidP="009454E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9454EB" w:rsidRPr="00214D24" w:rsidRDefault="009454EB" w:rsidP="009454EB">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bookmarkStart w:id="0" w:name="TOC_Chap2"/>
      <w:proofErr w:type="gramStart"/>
      <w:r w:rsidRPr="00214D24">
        <w:rPr>
          <w:sz w:val="24"/>
          <w:szCs w:val="24"/>
        </w:rPr>
        <w:t>Chapter 11.</w:t>
      </w:r>
      <w:bookmarkEnd w:id="0"/>
      <w:proofErr w:type="gramEnd"/>
      <w:r w:rsidRPr="00214D24">
        <w:rPr>
          <w:sz w:val="24"/>
          <w:szCs w:val="24"/>
        </w:rPr>
        <w:t xml:space="preserve">  Control of Emissions of Smoke</w:t>
      </w:r>
    </w:p>
    <w:p w:rsidR="009454EB" w:rsidRPr="00214D24" w:rsidRDefault="009454EB" w:rsidP="009454E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9454EB" w:rsidRPr="00214D24" w:rsidRDefault="009454EB" w:rsidP="009454E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214D24">
        <w:rPr>
          <w:sz w:val="24"/>
          <w:szCs w:val="24"/>
        </w:rPr>
        <w:t xml:space="preserve">§1105.  Smoke </w:t>
      </w:r>
      <w:proofErr w:type="gramStart"/>
      <w:r w:rsidRPr="00214D24">
        <w:rPr>
          <w:sz w:val="24"/>
          <w:szCs w:val="24"/>
        </w:rPr>
        <w:t>From</w:t>
      </w:r>
      <w:proofErr w:type="gramEnd"/>
      <w:r w:rsidRPr="00214D24">
        <w:rPr>
          <w:sz w:val="24"/>
          <w:szCs w:val="24"/>
        </w:rPr>
        <w:t xml:space="preserve"> Flaring Shall Not Exceed 20 Percent Opacity</w:t>
      </w:r>
    </w:p>
    <w:p w:rsidR="009454EB" w:rsidRPr="00214D24" w:rsidRDefault="009454EB" w:rsidP="009454E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9454EB" w:rsidRPr="00214D24" w:rsidRDefault="009454EB" w:rsidP="009454EB">
      <w:pPr>
        <w:pStyle w:val="A"/>
        <w:tabs>
          <w:tab w:val="clear" w:pos="540"/>
          <w:tab w:val="left" w:pos="1440"/>
        </w:tabs>
        <w:spacing w:after="0"/>
        <w:ind w:firstLine="720"/>
        <w:jc w:val="left"/>
        <w:rPr>
          <w:sz w:val="24"/>
          <w:szCs w:val="24"/>
        </w:rPr>
      </w:pPr>
      <w:r w:rsidRPr="00214D24">
        <w:rPr>
          <w:sz w:val="24"/>
          <w:szCs w:val="24"/>
        </w:rPr>
        <w:t>A.</w:t>
      </w:r>
      <w:r w:rsidRPr="00214D24">
        <w:rPr>
          <w:sz w:val="24"/>
          <w:szCs w:val="24"/>
        </w:rPr>
        <w:tab/>
        <w:t>The emission of smoke from a flare or other similar device used for burning in connection with pressure valve releases for control over process upsets shall be controlled so that the shade or appearance of the emission does not exceed 20 percent opacity (LAC 33:III.1503.D.2, Table 4) for a combined total of six hours in any 10 consecutive days. If it appears the emergency cannot be controlled in six hours, SPOC shall be notified by the emitter in accordance with LAC 33:I.3923 as soon as possible after the start of the upset period.</w:t>
      </w:r>
      <w:r w:rsidRPr="00214D24">
        <w:rPr>
          <w:strike/>
          <w:sz w:val="24"/>
          <w:szCs w:val="24"/>
        </w:rPr>
        <w:t xml:space="preserve"> Such notification does not imply the administrative authority will automatically grant an exemption to the source(s) of excessive emissions.</w:t>
      </w:r>
    </w:p>
    <w:p w:rsidR="009454EB" w:rsidRPr="00214D24" w:rsidRDefault="009454EB" w:rsidP="009454E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9454EB" w:rsidRPr="00214D24" w:rsidRDefault="009454EB" w:rsidP="009454EB">
      <w:pPr>
        <w:pStyle w:val="AuthorityNote"/>
        <w:ind w:firstLine="720"/>
        <w:jc w:val="left"/>
        <w:rPr>
          <w:sz w:val="24"/>
          <w:szCs w:val="24"/>
        </w:rPr>
      </w:pPr>
      <w:r w:rsidRPr="00214D24">
        <w:rPr>
          <w:sz w:val="24"/>
          <w:szCs w:val="24"/>
        </w:rPr>
        <w:t>AUTHORITY NOTE:</w:t>
      </w:r>
      <w:r w:rsidRPr="00214D24">
        <w:rPr>
          <w:sz w:val="24"/>
          <w:szCs w:val="24"/>
        </w:rPr>
        <w:tab/>
      </w:r>
      <w:r w:rsidRPr="00214D24">
        <w:rPr>
          <w:sz w:val="24"/>
          <w:szCs w:val="24"/>
        </w:rPr>
        <w:tab/>
        <w:t>Promulgated in accordance with R.S. 30:2054.</w:t>
      </w:r>
    </w:p>
    <w:p w:rsidR="009454EB" w:rsidRPr="00214D24" w:rsidRDefault="009454EB" w:rsidP="009454EB">
      <w:pPr>
        <w:pStyle w:val="HistoricalNote"/>
        <w:spacing w:after="0"/>
        <w:ind w:firstLine="720"/>
        <w:jc w:val="left"/>
        <w:rPr>
          <w:sz w:val="24"/>
          <w:szCs w:val="24"/>
        </w:rPr>
      </w:pPr>
      <w:r w:rsidRPr="00214D24">
        <w:rPr>
          <w:sz w:val="24"/>
          <w:szCs w:val="24"/>
        </w:rPr>
        <w:t>HISTORICAL NOTE:</w:t>
      </w:r>
      <w:r w:rsidRPr="00214D24">
        <w:rPr>
          <w:sz w:val="24"/>
          <w:szCs w:val="24"/>
        </w:rPr>
        <w:tab/>
        <w:t>Promulgated by the Department of Environmental Quality, Office of Air Quality and Nuclear Energy, Air Quality Division, LR 13:741 (December 1987), amended by the Office of Air Quality and Radiation Protection, Air Quality Division, LR 25:656 (April 1999), amended by the Office of Environmental Assessment, Environmental Planning Division, LR 26:2450 (November 2000), LR 30:1671 (August 2004), amended by the Office of the Secretary, Legal Affairs Division, LR 31:2438 (October 2005), LR 33:2084 (October 2007), amended by the Office of the Secretary, Legal Division, LR 42:**.</w:t>
      </w:r>
    </w:p>
    <w:p w:rsidR="009454EB" w:rsidRPr="00214D24" w:rsidRDefault="009454EB" w:rsidP="009454E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9454EB" w:rsidRPr="00214D24" w:rsidRDefault="009454EB" w:rsidP="009454EB">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214D24">
        <w:rPr>
          <w:sz w:val="24"/>
          <w:szCs w:val="24"/>
        </w:rPr>
        <w:t>§1107.  Exemptions</w:t>
      </w:r>
    </w:p>
    <w:p w:rsidR="009454EB" w:rsidRPr="00214D24" w:rsidRDefault="009454EB" w:rsidP="009454EB">
      <w:pPr>
        <w:pStyle w:val="i"/>
        <w:tabs>
          <w:tab w:val="clear" w:pos="4500"/>
          <w:tab w:val="clear" w:pos="4680"/>
          <w:tab w:val="clear" w:pos="4860"/>
          <w:tab w:val="left" w:pos="2880"/>
          <w:tab w:val="left" w:pos="3600"/>
        </w:tabs>
        <w:spacing w:after="0"/>
        <w:jc w:val="left"/>
        <w:rPr>
          <w:sz w:val="24"/>
          <w:szCs w:val="24"/>
        </w:rPr>
      </w:pPr>
    </w:p>
    <w:p w:rsidR="009454EB" w:rsidRPr="00214D24" w:rsidRDefault="009454EB" w:rsidP="009454EB">
      <w:pPr>
        <w:pStyle w:val="A"/>
        <w:tabs>
          <w:tab w:val="clear" w:pos="540"/>
          <w:tab w:val="left" w:pos="1440"/>
        </w:tabs>
        <w:spacing w:after="0"/>
        <w:ind w:firstLine="720"/>
        <w:jc w:val="left"/>
        <w:rPr>
          <w:sz w:val="24"/>
          <w:szCs w:val="24"/>
        </w:rPr>
      </w:pPr>
      <w:r w:rsidRPr="00214D24">
        <w:rPr>
          <w:sz w:val="24"/>
          <w:szCs w:val="24"/>
        </w:rPr>
        <w:t>A.</w:t>
      </w:r>
      <w:r w:rsidRPr="00214D24">
        <w:rPr>
          <w:sz w:val="24"/>
          <w:szCs w:val="24"/>
        </w:rPr>
        <w:tab/>
      </w:r>
      <w:r w:rsidRPr="00214D24">
        <w:rPr>
          <w:strike/>
          <w:sz w:val="24"/>
          <w:szCs w:val="24"/>
        </w:rPr>
        <w:t xml:space="preserve">Exemptions from the provisions of LAC 33:III.1105 may be granted by the administrative authority during start-up and shutdown periods if the flaring was not the result of failure to maintain or repair equipment. A report in writing, explaining the conditions and duration of the start-up or shutdown and listing the steps necessary to remedy, prevent, and limit the excess emission, shall be submitted to SPOC within seven calendar days of the occurrence. In addition, the flaring must be minimized and no ambient air quality standard may be </w:t>
      </w:r>
      <w:proofErr w:type="spellStart"/>
      <w:r w:rsidRPr="00214D24">
        <w:rPr>
          <w:strike/>
          <w:sz w:val="24"/>
          <w:szCs w:val="24"/>
        </w:rPr>
        <w:t>jeopardized</w:t>
      </w:r>
      <w:r w:rsidRPr="00214D24">
        <w:rPr>
          <w:sz w:val="24"/>
          <w:szCs w:val="24"/>
          <w:u w:val="single"/>
        </w:rPr>
        <w:t>Repealed</w:t>
      </w:r>
      <w:proofErr w:type="spellEnd"/>
      <w:r w:rsidRPr="00214D24">
        <w:rPr>
          <w:sz w:val="24"/>
          <w:szCs w:val="24"/>
        </w:rPr>
        <w:t>.</w:t>
      </w:r>
    </w:p>
    <w:p w:rsidR="009454EB" w:rsidRPr="00214D24" w:rsidRDefault="009454EB" w:rsidP="009454EB">
      <w:pPr>
        <w:pStyle w:val="A"/>
        <w:tabs>
          <w:tab w:val="clear" w:pos="540"/>
          <w:tab w:val="left" w:pos="1440"/>
        </w:tabs>
        <w:spacing w:after="0"/>
        <w:ind w:firstLine="0"/>
        <w:jc w:val="left"/>
        <w:rPr>
          <w:sz w:val="24"/>
          <w:szCs w:val="24"/>
        </w:rPr>
      </w:pPr>
    </w:p>
    <w:p w:rsidR="009454EB" w:rsidRPr="00214D24" w:rsidRDefault="009454EB" w:rsidP="009454EB">
      <w:pPr>
        <w:pStyle w:val="Section"/>
        <w:tabs>
          <w:tab w:val="clear" w:pos="0"/>
          <w:tab w:val="clear" w:pos="180"/>
          <w:tab w:val="clear" w:pos="360"/>
        </w:tabs>
        <w:spacing w:after="0" w:line="240" w:lineRule="auto"/>
        <w:ind w:firstLine="0"/>
        <w:rPr>
          <w:b w:val="0"/>
          <w:sz w:val="24"/>
          <w:szCs w:val="24"/>
        </w:rPr>
      </w:pPr>
      <w:r w:rsidRPr="00214D24">
        <w:rPr>
          <w:b w:val="0"/>
          <w:sz w:val="24"/>
          <w:szCs w:val="24"/>
        </w:rPr>
        <w:t>B. - B.6.  …</w:t>
      </w:r>
    </w:p>
    <w:p w:rsidR="009454EB" w:rsidRPr="00214D24" w:rsidRDefault="009454EB" w:rsidP="009454EB">
      <w:pPr>
        <w:pStyle w:val="HistoricalNote"/>
        <w:spacing w:after="0"/>
        <w:ind w:firstLine="0"/>
        <w:jc w:val="left"/>
        <w:rPr>
          <w:sz w:val="24"/>
          <w:szCs w:val="24"/>
        </w:rPr>
      </w:pPr>
    </w:p>
    <w:p w:rsidR="009454EB" w:rsidRPr="00214D24" w:rsidRDefault="009454EB" w:rsidP="009454EB">
      <w:pPr>
        <w:pStyle w:val="AuthorityNote"/>
        <w:ind w:firstLine="720"/>
        <w:jc w:val="left"/>
        <w:rPr>
          <w:sz w:val="24"/>
          <w:szCs w:val="24"/>
        </w:rPr>
      </w:pPr>
      <w:r w:rsidRPr="00214D24">
        <w:rPr>
          <w:sz w:val="24"/>
          <w:szCs w:val="24"/>
        </w:rPr>
        <w:t>AUTHORITY NOTE:</w:t>
      </w:r>
      <w:r w:rsidRPr="00214D24">
        <w:rPr>
          <w:sz w:val="24"/>
          <w:szCs w:val="24"/>
        </w:rPr>
        <w:tab/>
      </w:r>
      <w:r w:rsidRPr="00214D24">
        <w:rPr>
          <w:sz w:val="24"/>
          <w:szCs w:val="24"/>
        </w:rPr>
        <w:tab/>
        <w:t>Promulgated in accordance with R.S. 30:2054.</w:t>
      </w:r>
    </w:p>
    <w:p w:rsidR="009454EB" w:rsidRPr="00214D24" w:rsidRDefault="009454EB" w:rsidP="009454EB">
      <w:pPr>
        <w:pStyle w:val="HistoricalNote"/>
        <w:spacing w:after="0"/>
        <w:ind w:firstLine="720"/>
        <w:jc w:val="left"/>
        <w:rPr>
          <w:sz w:val="24"/>
          <w:szCs w:val="24"/>
        </w:rPr>
      </w:pPr>
      <w:r w:rsidRPr="00214D24">
        <w:rPr>
          <w:sz w:val="24"/>
          <w:szCs w:val="24"/>
        </w:rPr>
        <w:t>HISTORICAL NOTE:</w:t>
      </w:r>
      <w:r w:rsidRPr="00214D24">
        <w:rPr>
          <w:sz w:val="24"/>
          <w:szCs w:val="24"/>
        </w:rPr>
        <w:tab/>
        <w:t>Promulgated by the Department of Environmental Quality, Office of Air Quality and Nuclear Energy, Air Quality Division, LR 13:741 (December 1987), amended by the Office of Environmental Assessment, Environmental Planning Division, LR 26:2451 (November 2000), amended by the Office of the Secretary, Legal Affairs Division, LR 31:2438 (October 2005), LR 33:2084 (October 2007), LR 37:1144 (April 2011), amended by the Office of the Secretary, Legal Division, LR 42:**.</w:t>
      </w:r>
      <w:bookmarkStart w:id="1" w:name="_GoBack"/>
      <w:bookmarkEnd w:id="1"/>
    </w:p>
    <w:sectPr w:rsidR="009454EB" w:rsidRPr="00214D24" w:rsidSect="001E715D">
      <w:headerReference w:type="default" r:id="rId10"/>
      <w:pgSz w:w="12240" w:h="15840" w:code="1"/>
      <w:pgMar w:top="1440" w:right="1440" w:bottom="1440" w:left="1440" w:header="360" w:footer="720" w:gutter="0"/>
      <w:paperSrc w:first="11" w:other="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4EB" w:rsidRDefault="009454EB" w:rsidP="009454EB">
      <w:r>
        <w:separator/>
      </w:r>
    </w:p>
  </w:endnote>
  <w:endnote w:type="continuationSeparator" w:id="0">
    <w:p w:rsidR="009454EB" w:rsidRDefault="009454EB" w:rsidP="0094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4EB" w:rsidRDefault="009454EB" w:rsidP="009454EB">
      <w:r>
        <w:separator/>
      </w:r>
    </w:p>
  </w:footnote>
  <w:footnote w:type="continuationSeparator" w:id="0">
    <w:p w:rsidR="009454EB" w:rsidRDefault="009454EB" w:rsidP="00945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EB" w:rsidRDefault="009454EB">
    <w:pPr>
      <w:pStyle w:val="Header"/>
    </w:pPr>
    <w:r>
      <w:t>Proposed/April 20, 2016</w:t>
    </w:r>
    <w:r>
      <w:tab/>
    </w:r>
    <w:r>
      <w:tab/>
      <w:t>AQ361</w:t>
    </w:r>
  </w:p>
  <w:p w:rsidR="009454EB" w:rsidRDefault="00945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5147"/>
    <w:rsid w:val="0000277C"/>
    <w:rsid w:val="00004D5A"/>
    <w:rsid w:val="00005364"/>
    <w:rsid w:val="000126D0"/>
    <w:rsid w:val="00024BD6"/>
    <w:rsid w:val="000342D4"/>
    <w:rsid w:val="000353CB"/>
    <w:rsid w:val="0004418D"/>
    <w:rsid w:val="00053C35"/>
    <w:rsid w:val="0005446A"/>
    <w:rsid w:val="000724F8"/>
    <w:rsid w:val="000824EB"/>
    <w:rsid w:val="00092E49"/>
    <w:rsid w:val="000A4596"/>
    <w:rsid w:val="000C36AB"/>
    <w:rsid w:val="000C3B2D"/>
    <w:rsid w:val="000E3402"/>
    <w:rsid w:val="00106EA2"/>
    <w:rsid w:val="001072DE"/>
    <w:rsid w:val="001232AE"/>
    <w:rsid w:val="00133B87"/>
    <w:rsid w:val="00134437"/>
    <w:rsid w:val="00155BF0"/>
    <w:rsid w:val="00174ED9"/>
    <w:rsid w:val="00190510"/>
    <w:rsid w:val="00191A90"/>
    <w:rsid w:val="0019352F"/>
    <w:rsid w:val="001A5E2C"/>
    <w:rsid w:val="001B4587"/>
    <w:rsid w:val="001B53BE"/>
    <w:rsid w:val="001B79A8"/>
    <w:rsid w:val="001C757F"/>
    <w:rsid w:val="001D17C9"/>
    <w:rsid w:val="001D3AA1"/>
    <w:rsid w:val="001D56F6"/>
    <w:rsid w:val="001D77B4"/>
    <w:rsid w:val="001E715D"/>
    <w:rsid w:val="001F6200"/>
    <w:rsid w:val="00202D7B"/>
    <w:rsid w:val="002056A5"/>
    <w:rsid w:val="00205F6A"/>
    <w:rsid w:val="00210F43"/>
    <w:rsid w:val="002116D7"/>
    <w:rsid w:val="00224778"/>
    <w:rsid w:val="0023015E"/>
    <w:rsid w:val="00240179"/>
    <w:rsid w:val="0024308A"/>
    <w:rsid w:val="00245CB3"/>
    <w:rsid w:val="00253698"/>
    <w:rsid w:val="002557BA"/>
    <w:rsid w:val="00260A44"/>
    <w:rsid w:val="0026650B"/>
    <w:rsid w:val="0028218F"/>
    <w:rsid w:val="00291F7A"/>
    <w:rsid w:val="002951E9"/>
    <w:rsid w:val="00296DF3"/>
    <w:rsid w:val="00297865"/>
    <w:rsid w:val="002A6CA7"/>
    <w:rsid w:val="002B7ABF"/>
    <w:rsid w:val="002C2504"/>
    <w:rsid w:val="002C7327"/>
    <w:rsid w:val="002E4166"/>
    <w:rsid w:val="002E7C14"/>
    <w:rsid w:val="002F0328"/>
    <w:rsid w:val="002F1DFF"/>
    <w:rsid w:val="002F238A"/>
    <w:rsid w:val="002F6B52"/>
    <w:rsid w:val="00300FC2"/>
    <w:rsid w:val="00302C9C"/>
    <w:rsid w:val="00305A54"/>
    <w:rsid w:val="003066D4"/>
    <w:rsid w:val="00307383"/>
    <w:rsid w:val="00312DF3"/>
    <w:rsid w:val="00321E43"/>
    <w:rsid w:val="003300C7"/>
    <w:rsid w:val="00341FD5"/>
    <w:rsid w:val="003500B9"/>
    <w:rsid w:val="00376CF3"/>
    <w:rsid w:val="00386A11"/>
    <w:rsid w:val="00390EBC"/>
    <w:rsid w:val="00392C65"/>
    <w:rsid w:val="00393B98"/>
    <w:rsid w:val="00393C4F"/>
    <w:rsid w:val="0039779A"/>
    <w:rsid w:val="003A005A"/>
    <w:rsid w:val="003A3288"/>
    <w:rsid w:val="003A4119"/>
    <w:rsid w:val="003A5BF5"/>
    <w:rsid w:val="003B2B55"/>
    <w:rsid w:val="003C569C"/>
    <w:rsid w:val="003D4779"/>
    <w:rsid w:val="003D4978"/>
    <w:rsid w:val="003D7D24"/>
    <w:rsid w:val="003E41D6"/>
    <w:rsid w:val="003F07E1"/>
    <w:rsid w:val="003F5AAE"/>
    <w:rsid w:val="00404236"/>
    <w:rsid w:val="00410EBB"/>
    <w:rsid w:val="00411F35"/>
    <w:rsid w:val="00416895"/>
    <w:rsid w:val="00427F9C"/>
    <w:rsid w:val="00441CCB"/>
    <w:rsid w:val="00442690"/>
    <w:rsid w:val="004437A2"/>
    <w:rsid w:val="00450942"/>
    <w:rsid w:val="004517B8"/>
    <w:rsid w:val="00465C45"/>
    <w:rsid w:val="004920F6"/>
    <w:rsid w:val="00495B05"/>
    <w:rsid w:val="00496FB4"/>
    <w:rsid w:val="004A4D98"/>
    <w:rsid w:val="004A4E68"/>
    <w:rsid w:val="004A7336"/>
    <w:rsid w:val="004B0395"/>
    <w:rsid w:val="004B3894"/>
    <w:rsid w:val="004D1BAE"/>
    <w:rsid w:val="004E09F3"/>
    <w:rsid w:val="004E179C"/>
    <w:rsid w:val="004E608F"/>
    <w:rsid w:val="004F0419"/>
    <w:rsid w:val="004F3071"/>
    <w:rsid w:val="00511D9C"/>
    <w:rsid w:val="0052345E"/>
    <w:rsid w:val="00525046"/>
    <w:rsid w:val="0053096D"/>
    <w:rsid w:val="00530B46"/>
    <w:rsid w:val="00530D8F"/>
    <w:rsid w:val="00557E52"/>
    <w:rsid w:val="005669BB"/>
    <w:rsid w:val="0057348C"/>
    <w:rsid w:val="0058138D"/>
    <w:rsid w:val="00582A02"/>
    <w:rsid w:val="00584EE2"/>
    <w:rsid w:val="005C0C31"/>
    <w:rsid w:val="005D171B"/>
    <w:rsid w:val="005D272D"/>
    <w:rsid w:val="005E511D"/>
    <w:rsid w:val="0060212A"/>
    <w:rsid w:val="00607D47"/>
    <w:rsid w:val="00612B19"/>
    <w:rsid w:val="00616D80"/>
    <w:rsid w:val="0062645A"/>
    <w:rsid w:val="00627B40"/>
    <w:rsid w:val="006405C3"/>
    <w:rsid w:val="006510B8"/>
    <w:rsid w:val="00656095"/>
    <w:rsid w:val="00667F5F"/>
    <w:rsid w:val="00687B38"/>
    <w:rsid w:val="00690E75"/>
    <w:rsid w:val="006A60FE"/>
    <w:rsid w:val="006B406B"/>
    <w:rsid w:val="006C19EF"/>
    <w:rsid w:val="006C21FF"/>
    <w:rsid w:val="006C6746"/>
    <w:rsid w:val="006C6BDD"/>
    <w:rsid w:val="006D1AFA"/>
    <w:rsid w:val="006E3237"/>
    <w:rsid w:val="006F07DC"/>
    <w:rsid w:val="006F7147"/>
    <w:rsid w:val="006F7E85"/>
    <w:rsid w:val="00700EB6"/>
    <w:rsid w:val="00703A79"/>
    <w:rsid w:val="007074B1"/>
    <w:rsid w:val="00713CC7"/>
    <w:rsid w:val="00713E47"/>
    <w:rsid w:val="007167AB"/>
    <w:rsid w:val="00717664"/>
    <w:rsid w:val="00727B1A"/>
    <w:rsid w:val="007403F0"/>
    <w:rsid w:val="00740967"/>
    <w:rsid w:val="00747B05"/>
    <w:rsid w:val="007503E4"/>
    <w:rsid w:val="00752532"/>
    <w:rsid w:val="0075408F"/>
    <w:rsid w:val="00757596"/>
    <w:rsid w:val="007704D4"/>
    <w:rsid w:val="00775A2B"/>
    <w:rsid w:val="00782B42"/>
    <w:rsid w:val="007A2EC0"/>
    <w:rsid w:val="007A71F3"/>
    <w:rsid w:val="007A788D"/>
    <w:rsid w:val="007C405C"/>
    <w:rsid w:val="007D04D9"/>
    <w:rsid w:val="007D1717"/>
    <w:rsid w:val="007D4989"/>
    <w:rsid w:val="007D589A"/>
    <w:rsid w:val="007F2DFA"/>
    <w:rsid w:val="007F723A"/>
    <w:rsid w:val="00801E6A"/>
    <w:rsid w:val="00806BC9"/>
    <w:rsid w:val="00811699"/>
    <w:rsid w:val="0082208D"/>
    <w:rsid w:val="00825808"/>
    <w:rsid w:val="008264B8"/>
    <w:rsid w:val="008316F5"/>
    <w:rsid w:val="00831A4E"/>
    <w:rsid w:val="00833C61"/>
    <w:rsid w:val="008447EA"/>
    <w:rsid w:val="00845F26"/>
    <w:rsid w:val="00871A6B"/>
    <w:rsid w:val="0087540C"/>
    <w:rsid w:val="0087639D"/>
    <w:rsid w:val="008828A6"/>
    <w:rsid w:val="00894009"/>
    <w:rsid w:val="00897F8A"/>
    <w:rsid w:val="008A6164"/>
    <w:rsid w:val="008C31F3"/>
    <w:rsid w:val="008C393C"/>
    <w:rsid w:val="008D126D"/>
    <w:rsid w:val="008F1B9C"/>
    <w:rsid w:val="008F1E54"/>
    <w:rsid w:val="008F4313"/>
    <w:rsid w:val="008F7654"/>
    <w:rsid w:val="008F7862"/>
    <w:rsid w:val="00901D1E"/>
    <w:rsid w:val="0092093A"/>
    <w:rsid w:val="00920B7C"/>
    <w:rsid w:val="00920FB5"/>
    <w:rsid w:val="0092181A"/>
    <w:rsid w:val="009262A0"/>
    <w:rsid w:val="00926BC7"/>
    <w:rsid w:val="00931B54"/>
    <w:rsid w:val="00943CEB"/>
    <w:rsid w:val="009441EF"/>
    <w:rsid w:val="009452B6"/>
    <w:rsid w:val="009454EB"/>
    <w:rsid w:val="00947A0F"/>
    <w:rsid w:val="009600E8"/>
    <w:rsid w:val="0096042C"/>
    <w:rsid w:val="00965739"/>
    <w:rsid w:val="00965979"/>
    <w:rsid w:val="009874DD"/>
    <w:rsid w:val="009925FC"/>
    <w:rsid w:val="00992D89"/>
    <w:rsid w:val="009A1785"/>
    <w:rsid w:val="009A1AE8"/>
    <w:rsid w:val="009B0891"/>
    <w:rsid w:val="009C152F"/>
    <w:rsid w:val="009C2423"/>
    <w:rsid w:val="009C3735"/>
    <w:rsid w:val="009D2858"/>
    <w:rsid w:val="009D5994"/>
    <w:rsid w:val="009F3622"/>
    <w:rsid w:val="009F3ABE"/>
    <w:rsid w:val="00A00AB6"/>
    <w:rsid w:val="00A21B67"/>
    <w:rsid w:val="00A41106"/>
    <w:rsid w:val="00A41136"/>
    <w:rsid w:val="00A4589D"/>
    <w:rsid w:val="00A61744"/>
    <w:rsid w:val="00A75263"/>
    <w:rsid w:val="00A75E03"/>
    <w:rsid w:val="00A762B9"/>
    <w:rsid w:val="00A7658C"/>
    <w:rsid w:val="00A76A7A"/>
    <w:rsid w:val="00A80186"/>
    <w:rsid w:val="00A8402F"/>
    <w:rsid w:val="00A9353E"/>
    <w:rsid w:val="00AA6B49"/>
    <w:rsid w:val="00AA7881"/>
    <w:rsid w:val="00AB172A"/>
    <w:rsid w:val="00AB17D6"/>
    <w:rsid w:val="00AB6F63"/>
    <w:rsid w:val="00AD073F"/>
    <w:rsid w:val="00AD366F"/>
    <w:rsid w:val="00AE6D6D"/>
    <w:rsid w:val="00AE7F03"/>
    <w:rsid w:val="00AF78BB"/>
    <w:rsid w:val="00B04975"/>
    <w:rsid w:val="00B053D7"/>
    <w:rsid w:val="00B118A8"/>
    <w:rsid w:val="00B25C2A"/>
    <w:rsid w:val="00B4354D"/>
    <w:rsid w:val="00B43654"/>
    <w:rsid w:val="00B43842"/>
    <w:rsid w:val="00B53EBD"/>
    <w:rsid w:val="00B553CF"/>
    <w:rsid w:val="00B627E9"/>
    <w:rsid w:val="00B75505"/>
    <w:rsid w:val="00B93681"/>
    <w:rsid w:val="00B93E2B"/>
    <w:rsid w:val="00BB191A"/>
    <w:rsid w:val="00BB6A8B"/>
    <w:rsid w:val="00BC6B6F"/>
    <w:rsid w:val="00BD0874"/>
    <w:rsid w:val="00BD6757"/>
    <w:rsid w:val="00BE0BC6"/>
    <w:rsid w:val="00BE47ED"/>
    <w:rsid w:val="00BF56F8"/>
    <w:rsid w:val="00C2125B"/>
    <w:rsid w:val="00C30C92"/>
    <w:rsid w:val="00C316E8"/>
    <w:rsid w:val="00C35371"/>
    <w:rsid w:val="00C51B32"/>
    <w:rsid w:val="00C546C8"/>
    <w:rsid w:val="00C61F60"/>
    <w:rsid w:val="00C622FB"/>
    <w:rsid w:val="00C70727"/>
    <w:rsid w:val="00C7133F"/>
    <w:rsid w:val="00C822A6"/>
    <w:rsid w:val="00C9111B"/>
    <w:rsid w:val="00C91F45"/>
    <w:rsid w:val="00C96CE3"/>
    <w:rsid w:val="00CB4964"/>
    <w:rsid w:val="00CD01E9"/>
    <w:rsid w:val="00CD5FAB"/>
    <w:rsid w:val="00CE017B"/>
    <w:rsid w:val="00CE5FD4"/>
    <w:rsid w:val="00CF3E85"/>
    <w:rsid w:val="00CF641C"/>
    <w:rsid w:val="00CF74EC"/>
    <w:rsid w:val="00CF7C26"/>
    <w:rsid w:val="00D06D24"/>
    <w:rsid w:val="00D16687"/>
    <w:rsid w:val="00D23BFC"/>
    <w:rsid w:val="00D34ACC"/>
    <w:rsid w:val="00D37C61"/>
    <w:rsid w:val="00D707CE"/>
    <w:rsid w:val="00D743A5"/>
    <w:rsid w:val="00D748A9"/>
    <w:rsid w:val="00D7657A"/>
    <w:rsid w:val="00D768D6"/>
    <w:rsid w:val="00D8549E"/>
    <w:rsid w:val="00D87497"/>
    <w:rsid w:val="00DB426A"/>
    <w:rsid w:val="00DB6B80"/>
    <w:rsid w:val="00DD28A5"/>
    <w:rsid w:val="00DD48E2"/>
    <w:rsid w:val="00DD684C"/>
    <w:rsid w:val="00DE19EC"/>
    <w:rsid w:val="00DF30C7"/>
    <w:rsid w:val="00E02FFB"/>
    <w:rsid w:val="00E036DB"/>
    <w:rsid w:val="00E21657"/>
    <w:rsid w:val="00E253E5"/>
    <w:rsid w:val="00E265CB"/>
    <w:rsid w:val="00E353C3"/>
    <w:rsid w:val="00E63E72"/>
    <w:rsid w:val="00E67F21"/>
    <w:rsid w:val="00E94BF4"/>
    <w:rsid w:val="00EA3713"/>
    <w:rsid w:val="00EC2D2D"/>
    <w:rsid w:val="00EC3052"/>
    <w:rsid w:val="00ED363A"/>
    <w:rsid w:val="00ED59AB"/>
    <w:rsid w:val="00EE280A"/>
    <w:rsid w:val="00EE4BFB"/>
    <w:rsid w:val="00EF36C1"/>
    <w:rsid w:val="00EF6AB3"/>
    <w:rsid w:val="00F05BD4"/>
    <w:rsid w:val="00F16DAB"/>
    <w:rsid w:val="00F200A4"/>
    <w:rsid w:val="00F212EC"/>
    <w:rsid w:val="00F238CC"/>
    <w:rsid w:val="00F33F58"/>
    <w:rsid w:val="00F36382"/>
    <w:rsid w:val="00F50A56"/>
    <w:rsid w:val="00F61489"/>
    <w:rsid w:val="00F652EE"/>
    <w:rsid w:val="00F65370"/>
    <w:rsid w:val="00F7136D"/>
    <w:rsid w:val="00F727E6"/>
    <w:rsid w:val="00F73292"/>
    <w:rsid w:val="00F92424"/>
    <w:rsid w:val="00F9372A"/>
    <w:rsid w:val="00F94AD8"/>
    <w:rsid w:val="00F96517"/>
    <w:rsid w:val="00FA1E61"/>
    <w:rsid w:val="00FA23EB"/>
    <w:rsid w:val="00FA5147"/>
    <w:rsid w:val="00FC1876"/>
    <w:rsid w:val="00FC689C"/>
    <w:rsid w:val="00FF132B"/>
    <w:rsid w:val="00FF22F8"/>
    <w:rsid w:val="00FF3547"/>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paragraph" w:styleId="Header">
    <w:name w:val="header"/>
    <w:basedOn w:val="Normal"/>
    <w:link w:val="HeaderChar"/>
    <w:uiPriority w:val="99"/>
    <w:rsid w:val="009454EB"/>
    <w:pPr>
      <w:tabs>
        <w:tab w:val="center" w:pos="4680"/>
        <w:tab w:val="right" w:pos="9360"/>
      </w:tabs>
    </w:pPr>
  </w:style>
  <w:style w:type="character" w:customStyle="1" w:styleId="HeaderChar">
    <w:name w:val="Header Char"/>
    <w:basedOn w:val="DefaultParagraphFont"/>
    <w:link w:val="Header"/>
    <w:uiPriority w:val="99"/>
    <w:rsid w:val="009454EB"/>
    <w:rPr>
      <w:sz w:val="24"/>
      <w:szCs w:val="24"/>
    </w:rPr>
  </w:style>
  <w:style w:type="paragraph" w:styleId="Footer">
    <w:name w:val="footer"/>
    <w:basedOn w:val="Normal"/>
    <w:link w:val="FooterChar"/>
    <w:rsid w:val="009454EB"/>
    <w:pPr>
      <w:tabs>
        <w:tab w:val="center" w:pos="4680"/>
        <w:tab w:val="right" w:pos="9360"/>
      </w:tabs>
    </w:pPr>
  </w:style>
  <w:style w:type="character" w:customStyle="1" w:styleId="FooterChar">
    <w:name w:val="Footer Char"/>
    <w:basedOn w:val="DefaultParagraphFont"/>
    <w:link w:val="Footer"/>
    <w:rsid w:val="009454EB"/>
    <w:rPr>
      <w:sz w:val="24"/>
      <w:szCs w:val="24"/>
    </w:rPr>
  </w:style>
  <w:style w:type="paragraph" w:styleId="Title">
    <w:name w:val="Title"/>
    <w:basedOn w:val="Normal"/>
    <w:link w:val="TitleChar"/>
    <w:qFormat/>
    <w:rsid w:val="009454EB"/>
    <w:pPr>
      <w:jc w:val="center"/>
    </w:pPr>
    <w:rPr>
      <w:szCs w:val="20"/>
    </w:rPr>
  </w:style>
  <w:style w:type="character" w:customStyle="1" w:styleId="TitleChar">
    <w:name w:val="Title Char"/>
    <w:basedOn w:val="DefaultParagraphFont"/>
    <w:link w:val="Title"/>
    <w:rsid w:val="009454EB"/>
    <w:rPr>
      <w:sz w:val="24"/>
    </w:rPr>
  </w:style>
  <w:style w:type="paragraph" w:customStyle="1" w:styleId="Section">
    <w:name w:val="Section"/>
    <w:basedOn w:val="Normal"/>
    <w:rsid w:val="009454EB"/>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9454EB"/>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i">
    <w:name w:val="i."/>
    <w:basedOn w:val="Normal"/>
    <w:rsid w:val="009454EB"/>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9454E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9454E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9454EB"/>
    <w:pPr>
      <w:keepNext/>
      <w:keepLines/>
      <w:spacing w:after="120"/>
      <w:outlineLvl w:val="0"/>
    </w:pPr>
    <w:rPr>
      <w:b/>
      <w:kern w:val="2"/>
      <w:sz w:val="28"/>
    </w:rPr>
  </w:style>
  <w:style w:type="paragraph" w:customStyle="1" w:styleId="TOCPart">
    <w:name w:val="TOCPart"/>
    <w:rsid w:val="009454EB"/>
    <w:pPr>
      <w:keepNext/>
      <w:keepLines/>
      <w:spacing w:before="240" w:after="240"/>
      <w:jc w:val="center"/>
    </w:pPr>
    <w:rPr>
      <w:b/>
      <w:noProof/>
      <w:sz w:val="28"/>
    </w:rPr>
  </w:style>
  <w:style w:type="paragraph" w:customStyle="1" w:styleId="Chapter">
    <w:name w:val="Chapter"/>
    <w:basedOn w:val="Normal"/>
    <w:link w:val="ChapterChar"/>
    <w:rsid w:val="009454EB"/>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rsid w:val="009454EB"/>
    <w:rPr>
      <w:kern w:val="2"/>
    </w:rPr>
  </w:style>
  <w:style w:type="character" w:customStyle="1" w:styleId="HistoricalNoteChar">
    <w:name w:val="Historical Note Char"/>
    <w:link w:val="HistoricalNote"/>
    <w:rsid w:val="009454EB"/>
    <w:rPr>
      <w:kern w:val="2"/>
      <w:sz w:val="18"/>
    </w:rPr>
  </w:style>
  <w:style w:type="character" w:customStyle="1" w:styleId="AuthorityNoteChar">
    <w:name w:val="Authority Note Char"/>
    <w:link w:val="AuthorityNote"/>
    <w:locked/>
    <w:rsid w:val="009454EB"/>
    <w:rPr>
      <w:kern w:val="2"/>
      <w:sz w:val="18"/>
    </w:rPr>
  </w:style>
  <w:style w:type="character" w:customStyle="1" w:styleId="ChapterChar">
    <w:name w:val="Chapter Char"/>
    <w:link w:val="Chapter"/>
    <w:rsid w:val="009454EB"/>
    <w:rPr>
      <w:b/>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CCE4-A41D-4A1F-B1C1-B41EF887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Helpline</cp:lastModifiedBy>
  <cp:revision>2</cp:revision>
  <cp:lastPrinted>2016-03-10T16:05:00Z</cp:lastPrinted>
  <dcterms:created xsi:type="dcterms:W3CDTF">2016-04-07T14:14:00Z</dcterms:created>
  <dcterms:modified xsi:type="dcterms:W3CDTF">2016-04-07T14:14:00Z</dcterms:modified>
</cp:coreProperties>
</file>