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F4" w:rsidRDefault="006749F4">
      <w:pPr>
        <w:rPr>
          <w:rFonts w:ascii="Arial" w:hAnsi="Arial" w:cs="Arial"/>
          <w:sz w:val="20"/>
          <w:szCs w:val="20"/>
        </w:rPr>
      </w:pPr>
    </w:p>
    <w:p w:rsidR="006749F4" w:rsidRDefault="006749F4" w:rsidP="006749F4">
      <w:pPr>
        <w:pStyle w:val="Title"/>
      </w:pPr>
      <w:r>
        <w:t>NOTICE OF INTENT</w:t>
      </w:r>
    </w:p>
    <w:p w:rsidR="006749F4" w:rsidRDefault="006749F4" w:rsidP="006749F4">
      <w:pPr>
        <w:jc w:val="center"/>
      </w:pPr>
    </w:p>
    <w:p w:rsidR="006749F4" w:rsidRDefault="006749F4" w:rsidP="006749F4">
      <w:pPr>
        <w:jc w:val="center"/>
      </w:pPr>
      <w:r>
        <w:t>Department of Environmental Quality</w:t>
      </w:r>
    </w:p>
    <w:p w:rsidR="006749F4" w:rsidRDefault="006749F4" w:rsidP="006749F4">
      <w:pPr>
        <w:jc w:val="center"/>
      </w:pPr>
      <w:r>
        <w:t>Office of the Secretary</w:t>
      </w:r>
    </w:p>
    <w:p w:rsidR="006749F4" w:rsidRDefault="006749F4" w:rsidP="006749F4">
      <w:pPr>
        <w:jc w:val="center"/>
      </w:pPr>
      <w:r>
        <w:t>Legal Division</w:t>
      </w:r>
    </w:p>
    <w:p w:rsidR="006749F4" w:rsidRDefault="006749F4" w:rsidP="006749F4">
      <w:pPr>
        <w:jc w:val="center"/>
      </w:pPr>
    </w:p>
    <w:p w:rsidR="006749F4" w:rsidRDefault="006749F4" w:rsidP="006749F4">
      <w:pPr>
        <w:jc w:val="center"/>
      </w:pPr>
      <w:r w:rsidRPr="005D529F">
        <w:rPr>
          <w:noProof/>
        </w:rPr>
        <w:t>Repeal of LAC 33:III.2153.B.1.i</w:t>
      </w:r>
    </w:p>
    <w:p w:rsidR="006749F4" w:rsidRDefault="006749F4" w:rsidP="006749F4">
      <w:pPr>
        <w:jc w:val="center"/>
      </w:pPr>
      <w:r>
        <w:t>(</w:t>
      </w:r>
      <w:r w:rsidRPr="005D529F">
        <w:rPr>
          <w:noProof/>
        </w:rPr>
        <w:t>LAC 33:III.2153.B.1.i</w:t>
      </w:r>
      <w:r>
        <w:t>) (</w:t>
      </w:r>
      <w:r w:rsidRPr="005D529F">
        <w:rPr>
          <w:noProof/>
        </w:rPr>
        <w:t>AQ362</w:t>
      </w:r>
      <w:r>
        <w:t>)</w:t>
      </w:r>
    </w:p>
    <w:p w:rsidR="006749F4" w:rsidRDefault="006749F4" w:rsidP="006749F4">
      <w:pPr>
        <w:jc w:val="center"/>
      </w:pPr>
    </w:p>
    <w:p w:rsidR="006749F4" w:rsidRDefault="006749F4" w:rsidP="006749F4">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5D529F">
        <w:rPr>
          <w:noProof/>
        </w:rPr>
        <w:t>Air</w:t>
      </w:r>
      <w:r>
        <w:t xml:space="preserve"> regulations, </w:t>
      </w:r>
      <w:r w:rsidRPr="005D529F">
        <w:rPr>
          <w:noProof/>
        </w:rPr>
        <w:t>LAC 33:III.2153.B.1.i</w:t>
      </w:r>
      <w:r>
        <w:t xml:space="preserve"> (</w:t>
      </w:r>
      <w:r w:rsidRPr="005D529F">
        <w:rPr>
          <w:noProof/>
        </w:rPr>
        <w:t>AQ362</w:t>
      </w:r>
      <w:r>
        <w:t>).</w:t>
      </w:r>
    </w:p>
    <w:p w:rsidR="006749F4" w:rsidRDefault="006749F4" w:rsidP="006749F4"/>
    <w:p w:rsidR="006749F4" w:rsidRPr="005D529F" w:rsidRDefault="006749F4" w:rsidP="006749F4">
      <w:pPr>
        <w:rPr>
          <w:noProof/>
        </w:rPr>
      </w:pPr>
      <w:r>
        <w:tab/>
      </w:r>
      <w:r w:rsidRPr="005D529F">
        <w:rPr>
          <w:noProof/>
        </w:rPr>
        <w:t>This Rule will repeal LAC 33:III.2153.B.1.i.</w:t>
      </w:r>
      <w:r>
        <w:rPr>
          <w:noProof/>
        </w:rPr>
        <w:t xml:space="preserve"> </w:t>
      </w:r>
      <w:r w:rsidRPr="005D529F">
        <w:rPr>
          <w:noProof/>
        </w:rPr>
        <w:t xml:space="preserve"> </w:t>
      </w:r>
      <w:r>
        <w:rPr>
          <w:noProof/>
        </w:rPr>
        <w:t>Due to</w:t>
      </w:r>
      <w:r w:rsidRPr="005D529F">
        <w:rPr>
          <w:noProof/>
        </w:rPr>
        <w:t xml:space="preserve"> LAC 33:III.2153 (Limiting VOC Emissions from Industrial Wastewater) “affected VOC wastewater streams” </w:t>
      </w:r>
      <w:r>
        <w:rPr>
          <w:noProof/>
        </w:rPr>
        <w:t xml:space="preserve">are required </w:t>
      </w:r>
      <w:r w:rsidRPr="005D529F">
        <w:rPr>
          <w:noProof/>
        </w:rPr>
        <w:t>to be controlled.  More specifically, LAC 33:III.2153.B.1.d.i requires vents on covers and certain junction box covers to be</w:t>
      </w:r>
      <w:r>
        <w:rPr>
          <w:noProof/>
        </w:rPr>
        <w:t>,</w:t>
      </w:r>
      <w:r w:rsidRPr="005D529F">
        <w:rPr>
          <w:noProof/>
        </w:rPr>
        <w:t xml:space="preserve"> “equipped with either a control device or a vapor recovery system that maintains a minimum control efficiency of 90 percent VOC removal or a VOC concentration of less than or equal to 50 parts per million by volume.”</w:t>
      </w:r>
    </w:p>
    <w:p w:rsidR="006749F4" w:rsidRPr="005D529F" w:rsidRDefault="006749F4" w:rsidP="006749F4">
      <w:pPr>
        <w:rPr>
          <w:noProof/>
        </w:rPr>
      </w:pPr>
    </w:p>
    <w:p w:rsidR="006749F4" w:rsidRPr="005D529F" w:rsidRDefault="006749F4" w:rsidP="006749F4">
      <w:pPr>
        <w:ind w:firstLine="720"/>
        <w:rPr>
          <w:noProof/>
        </w:rPr>
      </w:pPr>
      <w:r w:rsidRPr="005D529F">
        <w:rPr>
          <w:noProof/>
        </w:rPr>
        <w:t>LAC 33:III.2153.B.1.i provides that the aforementioned control device or recovery device is</w:t>
      </w:r>
      <w:r>
        <w:rPr>
          <w:noProof/>
        </w:rPr>
        <w:t>,</w:t>
      </w:r>
      <w:r w:rsidRPr="005D529F">
        <w:rPr>
          <w:noProof/>
        </w:rPr>
        <w:t xml:space="preserve"> “not … required to meet the 90 percent removal efficiency or 50 ppmv concentration during periods of malfunction or maintenance on the devices for periods not to exceed 336 hours per year.”  This exemption was approved by EPA into Louisiana’s State Implementation Plan (SIP) on July 5, 2011 (76 FR 38977).</w:t>
      </w:r>
    </w:p>
    <w:p w:rsidR="006749F4" w:rsidRPr="005D529F" w:rsidRDefault="006749F4" w:rsidP="006749F4">
      <w:pPr>
        <w:rPr>
          <w:noProof/>
        </w:rPr>
      </w:pPr>
    </w:p>
    <w:p w:rsidR="006749F4" w:rsidRPr="005D529F" w:rsidRDefault="006749F4" w:rsidP="006749F4">
      <w:pPr>
        <w:ind w:firstLine="720"/>
        <w:rPr>
          <w:noProof/>
        </w:rPr>
      </w:pPr>
      <w:r w:rsidRPr="005D529F">
        <w:rPr>
          <w:noProof/>
        </w:rPr>
        <w:t>However, on June 12, 2015, EPA promulgated a rule* finding that several Louisiana air quality regulations, including LAC 33:III.2153.B.1.i, are</w:t>
      </w:r>
      <w:r>
        <w:rPr>
          <w:noProof/>
        </w:rPr>
        <w:t>,</w:t>
      </w:r>
      <w:r w:rsidRPr="005D529F">
        <w:rPr>
          <w:noProof/>
        </w:rPr>
        <w:t xml:space="preserve"> “substantially inadequate to meet [Clean Air Act] requirements” because they provide</w:t>
      </w:r>
      <w:r>
        <w:rPr>
          <w:noProof/>
        </w:rPr>
        <w:t>,</w:t>
      </w:r>
      <w:r w:rsidRPr="005D529F">
        <w:rPr>
          <w:noProof/>
        </w:rPr>
        <w:t xml:space="preserve"> “automatic exemptions for excess emissions from otherwise applicable SIP emission limitations.”  Consequently, EPA issued a</w:t>
      </w:r>
      <w:r>
        <w:rPr>
          <w:noProof/>
        </w:rPr>
        <w:t>,</w:t>
      </w:r>
      <w:r w:rsidRPr="005D529F">
        <w:rPr>
          <w:noProof/>
        </w:rPr>
        <w:t xml:space="preserve"> “SIP call” directing affected states to submit corrective SIP revisions by November 22, 2016.</w:t>
      </w:r>
    </w:p>
    <w:p w:rsidR="006749F4" w:rsidRPr="005D529F" w:rsidRDefault="006749F4" w:rsidP="006749F4">
      <w:pPr>
        <w:rPr>
          <w:noProof/>
        </w:rPr>
      </w:pPr>
    </w:p>
    <w:p w:rsidR="006749F4" w:rsidRPr="005D529F" w:rsidRDefault="006749F4" w:rsidP="006749F4">
      <w:pPr>
        <w:ind w:firstLine="720"/>
        <w:rPr>
          <w:noProof/>
        </w:rPr>
      </w:pPr>
      <w:r w:rsidRPr="005D529F">
        <w:rPr>
          <w:noProof/>
        </w:rPr>
        <w:t>An LDEQ query of effective air permits returned no documents identifying LAC 33:III.2153.B.1.i as an applicable requirement.  Moreover, LDEQ reached out to the regulated community, inquiring if any affected source relied upon this exemption as a means to comply with LAC 33:III.2153.  No affirmative responses were received.  Therefore, in response to EPA’s SIP call, LDEQ will repeal LAC 33:III.2153.B.1.i.</w:t>
      </w:r>
    </w:p>
    <w:p w:rsidR="006749F4" w:rsidRPr="005D529F" w:rsidRDefault="006749F4" w:rsidP="006749F4">
      <w:pPr>
        <w:rPr>
          <w:noProof/>
        </w:rPr>
      </w:pPr>
    </w:p>
    <w:p w:rsidR="006749F4" w:rsidRDefault="006749F4" w:rsidP="006749F4">
      <w:pPr>
        <w:ind w:left="720"/>
      </w:pPr>
      <w:r w:rsidRPr="005D529F">
        <w:rPr>
          <w:noProof/>
        </w:rPr>
        <w:t>* State Implementation Plans: Response to Petition for Rulemaking; Restatement and Update of EPA’s SSM Policy Applicable to SIPs; Findings of Substantial Inadequacy; and SIP Calls To Amend Provisions Applying to Excess Emissions During Periods of Startup, Shutdown</w:t>
      </w:r>
      <w:r>
        <w:rPr>
          <w:noProof/>
        </w:rPr>
        <w:t>,</w:t>
      </w:r>
      <w:r w:rsidRPr="005D529F">
        <w:rPr>
          <w:noProof/>
        </w:rPr>
        <w:t xml:space="preserve"> and Malfunction</w:t>
      </w:r>
      <w:r>
        <w:rPr>
          <w:noProof/>
        </w:rPr>
        <w:t xml:space="preserve"> </w:t>
      </w:r>
      <w:r w:rsidRPr="005D529F">
        <w:rPr>
          <w:noProof/>
        </w:rPr>
        <w:t>[80 FR 33840]</w:t>
      </w:r>
      <w:r>
        <w:t xml:space="preserve">  </w:t>
      </w:r>
    </w:p>
    <w:p w:rsidR="006749F4" w:rsidRDefault="006749F4" w:rsidP="006749F4"/>
    <w:p w:rsidR="006749F4" w:rsidRDefault="006749F4" w:rsidP="006749F4">
      <w:pPr>
        <w:ind w:firstLine="720"/>
      </w:pPr>
      <w:r w:rsidRPr="005D529F">
        <w:rPr>
          <w:noProof/>
        </w:rPr>
        <w:t>The basis and rationale for this rule are to repeal the exemption provided by LAC 33:III.2153.B.1.i in order to comply with EPA’s SIP call.</w:t>
      </w:r>
      <w:r>
        <w:t xml:space="preserve">  This Rule meets an exception listed in </w:t>
      </w:r>
      <w:r>
        <w:lastRenderedPageBreak/>
        <w:t>R.S. 30:2019(D</w:t>
      </w:r>
      <w:proofErr w:type="gramStart"/>
      <w:r>
        <w:t>)(</w:t>
      </w:r>
      <w:proofErr w:type="gramEnd"/>
      <w:r>
        <w:t xml:space="preserve">2) and R.S. 49:953(G)(3); therefore, no report regarding environmental/health benefits and social/economic costs is required.  </w:t>
      </w:r>
    </w:p>
    <w:p w:rsidR="006749F4" w:rsidRDefault="006749F4" w:rsidP="006749F4"/>
    <w:p w:rsidR="006749F4" w:rsidRDefault="006749F4" w:rsidP="006749F4">
      <w:pPr>
        <w:ind w:firstLine="720"/>
      </w:pPr>
      <w:r>
        <w:t xml:space="preserve">This Rule has no known impact on family formation, stability, and autonomy as described in R.S. 49:972. </w:t>
      </w:r>
    </w:p>
    <w:p w:rsidR="006749F4" w:rsidRDefault="006749F4" w:rsidP="006749F4">
      <w:pPr>
        <w:ind w:firstLine="720"/>
      </w:pPr>
    </w:p>
    <w:p w:rsidR="006749F4" w:rsidRDefault="006749F4" w:rsidP="006749F4">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6749F4" w:rsidRDefault="006749F4" w:rsidP="006749F4">
      <w:pPr>
        <w:ind w:firstLine="720"/>
        <w:rPr>
          <w:color w:val="000000"/>
        </w:rPr>
      </w:pPr>
    </w:p>
    <w:p w:rsidR="006749F4" w:rsidRPr="00E36F02" w:rsidRDefault="006749F4" w:rsidP="006749F4">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6749F4" w:rsidRDefault="006749F4" w:rsidP="006749F4"/>
    <w:p w:rsidR="006749F4" w:rsidRDefault="006749F4" w:rsidP="006749F4">
      <w:r>
        <w:tab/>
        <w:t>A public hearing will be held on May</w:t>
      </w:r>
      <w:r>
        <w:rPr>
          <w:noProof/>
        </w:rPr>
        <w:t xml:space="preserve"> 25, 2016</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6749F4" w:rsidRDefault="006749F4" w:rsidP="006749F4"/>
    <w:p w:rsidR="006749F4" w:rsidRDefault="006749F4" w:rsidP="006749F4">
      <w:r>
        <w:tab/>
        <w:t xml:space="preserve">All interested persons are invited to submit written comments on the proposed regulation. Persons commenting should reference this proposed regulation by </w:t>
      </w:r>
      <w:r w:rsidRPr="005D529F">
        <w:rPr>
          <w:noProof/>
        </w:rPr>
        <w:t>AQ362</w:t>
      </w:r>
      <w:r>
        <w:t>.  Such comments must be received no later than June</w:t>
      </w:r>
      <w:r>
        <w:rPr>
          <w:noProof/>
        </w:rPr>
        <w:t xml:space="preserve"> 1, 2016</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5D529F">
        <w:rPr>
          <w:noProof/>
        </w:rPr>
        <w:t>AQ362</w:t>
      </w:r>
      <w:r>
        <w:t xml:space="preserve">. These proposed regulations are available on the Internet at </w:t>
      </w:r>
      <w:hyperlink r:id="rId9" w:history="1">
        <w:r w:rsidRPr="00D80924">
          <w:rPr>
            <w:rStyle w:val="Hyperlink"/>
          </w:rPr>
          <w:t>www.deq.louisiana.gov/portal/tabid/</w:t>
        </w:r>
        <w:r>
          <w:rPr>
            <w:rStyle w:val="Hyperlink"/>
          </w:rPr>
          <w:t>1669</w:t>
        </w:r>
        <w:r w:rsidRPr="00D80924">
          <w:rPr>
            <w:rStyle w:val="Hyperlink"/>
          </w:rPr>
          <w:t>/default.aspx</w:t>
        </w:r>
      </w:hyperlink>
      <w:r>
        <w:t>.</w:t>
      </w:r>
    </w:p>
    <w:p w:rsidR="006749F4" w:rsidRDefault="006749F4" w:rsidP="006749F4"/>
    <w:p w:rsidR="006749F4" w:rsidRDefault="006749F4" w:rsidP="006749F4">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201 Evans Road, Bldg. 4, Suite 420, New Orleans, LA  70123.</w:t>
      </w:r>
    </w:p>
    <w:p w:rsidR="006749F4" w:rsidRDefault="006749F4" w:rsidP="006749F4"/>
    <w:p w:rsidR="006749F4" w:rsidRDefault="006749F4" w:rsidP="006749F4">
      <w:r>
        <w:tab/>
      </w:r>
      <w:r>
        <w:tab/>
      </w:r>
      <w:r>
        <w:tab/>
      </w:r>
      <w:r>
        <w:tab/>
      </w:r>
      <w:r>
        <w:tab/>
      </w:r>
      <w:r>
        <w:tab/>
        <w:t>Herman Robinson</w:t>
      </w:r>
    </w:p>
    <w:p w:rsidR="006749F4" w:rsidRDefault="006749F4" w:rsidP="006749F4">
      <w:r>
        <w:tab/>
      </w:r>
      <w:r>
        <w:tab/>
      </w:r>
      <w:r>
        <w:tab/>
      </w:r>
      <w:r>
        <w:tab/>
      </w:r>
      <w:r>
        <w:tab/>
      </w:r>
      <w:r>
        <w:tab/>
        <w:t>General Counsel</w:t>
      </w:r>
    </w:p>
    <w:p w:rsidR="006749F4" w:rsidRDefault="006749F4">
      <w:r>
        <w:br w:type="page"/>
      </w:r>
    </w:p>
    <w:p w:rsidR="006749F4" w:rsidRDefault="006749F4" w:rsidP="006749F4"/>
    <w:p w:rsidR="006749F4" w:rsidRPr="00066EAA" w:rsidRDefault="006749F4" w:rsidP="006749F4">
      <w:pPr>
        <w:pStyle w:val="TOCPart"/>
        <w:spacing w:before="0" w:after="0"/>
        <w:rPr>
          <w:color w:val="000000"/>
          <w:szCs w:val="28"/>
        </w:rPr>
      </w:pPr>
      <w:r w:rsidRPr="00066EAA">
        <w:rPr>
          <w:color w:val="000000"/>
          <w:szCs w:val="28"/>
        </w:rPr>
        <w:t>Title 33</w:t>
      </w:r>
    </w:p>
    <w:p w:rsidR="006749F4" w:rsidRPr="00066EAA" w:rsidRDefault="006749F4" w:rsidP="006749F4">
      <w:pPr>
        <w:pStyle w:val="Part"/>
        <w:spacing w:after="0"/>
        <w:rPr>
          <w:color w:val="000000"/>
          <w:szCs w:val="28"/>
        </w:rPr>
      </w:pPr>
      <w:r w:rsidRPr="00066EAA">
        <w:rPr>
          <w:color w:val="000000"/>
          <w:szCs w:val="28"/>
        </w:rPr>
        <w:t>ENVIRONMENTAL QUALITY</w:t>
      </w:r>
    </w:p>
    <w:p w:rsidR="006749F4" w:rsidRPr="00066EAA" w:rsidRDefault="006749F4" w:rsidP="006749F4">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szCs w:val="28"/>
        </w:rPr>
      </w:pPr>
      <w:r>
        <w:rPr>
          <w:color w:val="000000"/>
          <w:sz w:val="28"/>
          <w:szCs w:val="28"/>
        </w:rPr>
        <w:t xml:space="preserve">Part III.  </w:t>
      </w:r>
      <w:r w:rsidRPr="00066EAA">
        <w:rPr>
          <w:color w:val="000000"/>
          <w:sz w:val="28"/>
          <w:szCs w:val="28"/>
        </w:rPr>
        <w:t>Air</w:t>
      </w:r>
    </w:p>
    <w:p w:rsidR="006749F4" w:rsidRDefault="006749F4" w:rsidP="006749F4">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color w:val="000000"/>
          <w:sz w:val="24"/>
          <w:szCs w:val="24"/>
        </w:rPr>
      </w:pPr>
    </w:p>
    <w:p w:rsidR="006749F4" w:rsidRPr="00572FA6" w:rsidRDefault="006749F4" w:rsidP="006749F4">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bookmarkStart w:id="0" w:name="TOC_Chap2"/>
      <w:proofErr w:type="gramStart"/>
      <w:r w:rsidRPr="00572FA6">
        <w:rPr>
          <w:sz w:val="24"/>
          <w:szCs w:val="24"/>
        </w:rPr>
        <w:t xml:space="preserve">Chapter </w:t>
      </w:r>
      <w:r>
        <w:rPr>
          <w:sz w:val="24"/>
          <w:szCs w:val="24"/>
        </w:rPr>
        <w:t>2</w:t>
      </w:r>
      <w:r w:rsidRPr="00572FA6">
        <w:rPr>
          <w:sz w:val="24"/>
          <w:szCs w:val="24"/>
        </w:rPr>
        <w:t>1.</w:t>
      </w:r>
      <w:bookmarkEnd w:id="0"/>
      <w:proofErr w:type="gramEnd"/>
      <w:r w:rsidRPr="00572FA6">
        <w:rPr>
          <w:sz w:val="24"/>
          <w:szCs w:val="24"/>
        </w:rPr>
        <w:t xml:space="preserve">  </w:t>
      </w:r>
      <w:r>
        <w:rPr>
          <w:sz w:val="24"/>
          <w:szCs w:val="24"/>
        </w:rPr>
        <w:t>Control of Emission of Organic Compounds</w:t>
      </w:r>
    </w:p>
    <w:p w:rsidR="006749F4" w:rsidRDefault="006749F4" w:rsidP="006749F4">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p>
    <w:p w:rsidR="006749F4" w:rsidRPr="00572FA6" w:rsidRDefault="006749F4" w:rsidP="006749F4">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proofErr w:type="gramStart"/>
      <w:r>
        <w:rPr>
          <w:sz w:val="24"/>
          <w:szCs w:val="24"/>
        </w:rPr>
        <w:t>Subc</w:t>
      </w:r>
      <w:r w:rsidRPr="00572FA6">
        <w:rPr>
          <w:sz w:val="24"/>
          <w:szCs w:val="24"/>
        </w:rPr>
        <w:t xml:space="preserve">hapter </w:t>
      </w:r>
      <w:r>
        <w:rPr>
          <w:sz w:val="24"/>
          <w:szCs w:val="24"/>
        </w:rPr>
        <w:t>M</w:t>
      </w:r>
      <w:r w:rsidRPr="00572FA6">
        <w:rPr>
          <w:sz w:val="24"/>
          <w:szCs w:val="24"/>
        </w:rPr>
        <w:t>.</w:t>
      </w:r>
      <w:proofErr w:type="gramEnd"/>
      <w:r w:rsidRPr="00572FA6">
        <w:rPr>
          <w:sz w:val="24"/>
          <w:szCs w:val="24"/>
        </w:rPr>
        <w:t xml:space="preserve">  </w:t>
      </w:r>
      <w:r>
        <w:rPr>
          <w:sz w:val="24"/>
          <w:szCs w:val="24"/>
        </w:rPr>
        <w:t>Limiting Volatile Organic Compound (VOC) Emissions from Industrial Wastewater</w:t>
      </w:r>
    </w:p>
    <w:p w:rsidR="006749F4" w:rsidRPr="00572FA6" w:rsidRDefault="006749F4" w:rsidP="006749F4">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6749F4" w:rsidRPr="00572FA6" w:rsidRDefault="006749F4" w:rsidP="006749F4">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572FA6">
        <w:rPr>
          <w:sz w:val="24"/>
          <w:szCs w:val="24"/>
        </w:rPr>
        <w:t>§</w:t>
      </w:r>
      <w:r>
        <w:rPr>
          <w:sz w:val="24"/>
          <w:szCs w:val="24"/>
        </w:rPr>
        <w:t>2153</w:t>
      </w:r>
      <w:r w:rsidRPr="00572FA6">
        <w:rPr>
          <w:sz w:val="24"/>
          <w:szCs w:val="24"/>
        </w:rPr>
        <w:t xml:space="preserve">.  </w:t>
      </w:r>
      <w:r>
        <w:rPr>
          <w:sz w:val="24"/>
          <w:szCs w:val="24"/>
        </w:rPr>
        <w:t>Limiting VOC Emissions from Industrial Wastewater</w:t>
      </w:r>
    </w:p>
    <w:p w:rsidR="006749F4" w:rsidRDefault="006749F4" w:rsidP="006749F4">
      <w:pPr>
        <w:pStyle w:val="HistoricalNote"/>
        <w:tabs>
          <w:tab w:val="clear" w:pos="1080"/>
        </w:tabs>
        <w:spacing w:after="0"/>
        <w:ind w:firstLine="0"/>
        <w:jc w:val="left"/>
        <w:rPr>
          <w:sz w:val="24"/>
          <w:szCs w:val="24"/>
        </w:rPr>
      </w:pPr>
    </w:p>
    <w:p w:rsidR="006749F4" w:rsidRPr="00B82518" w:rsidRDefault="006749F4" w:rsidP="006749F4">
      <w:pPr>
        <w:pStyle w:val="Section"/>
        <w:tabs>
          <w:tab w:val="clear" w:pos="0"/>
          <w:tab w:val="clear" w:pos="180"/>
          <w:tab w:val="clear" w:pos="360"/>
        </w:tabs>
        <w:spacing w:after="0" w:line="240" w:lineRule="auto"/>
        <w:ind w:firstLine="0"/>
        <w:rPr>
          <w:b w:val="0"/>
          <w:color w:val="000000"/>
          <w:sz w:val="24"/>
          <w:szCs w:val="24"/>
        </w:rPr>
      </w:pPr>
      <w:r w:rsidRPr="00B82518">
        <w:rPr>
          <w:b w:val="0"/>
          <w:color w:val="000000"/>
          <w:sz w:val="24"/>
          <w:szCs w:val="24"/>
        </w:rPr>
        <w:t xml:space="preserve">A. </w:t>
      </w:r>
      <w:r>
        <w:rPr>
          <w:b w:val="0"/>
          <w:color w:val="000000"/>
          <w:sz w:val="24"/>
          <w:szCs w:val="24"/>
        </w:rPr>
        <w:t>-</w:t>
      </w:r>
      <w:r w:rsidRPr="00B82518">
        <w:rPr>
          <w:b w:val="0"/>
          <w:color w:val="000000"/>
          <w:sz w:val="24"/>
          <w:szCs w:val="24"/>
        </w:rPr>
        <w:t xml:space="preserve"> </w:t>
      </w:r>
      <w:r>
        <w:rPr>
          <w:b w:val="0"/>
          <w:color w:val="000000"/>
          <w:sz w:val="24"/>
          <w:szCs w:val="24"/>
        </w:rPr>
        <w:t>B</w:t>
      </w:r>
      <w:r w:rsidRPr="00B82518">
        <w:rPr>
          <w:b w:val="0"/>
          <w:color w:val="000000"/>
          <w:sz w:val="24"/>
          <w:szCs w:val="24"/>
        </w:rPr>
        <w:t>.  …</w:t>
      </w:r>
    </w:p>
    <w:p w:rsidR="006749F4" w:rsidRDefault="006749F4" w:rsidP="006749F4">
      <w:pPr>
        <w:pStyle w:val="1"/>
        <w:tabs>
          <w:tab w:val="left" w:pos="1440"/>
          <w:tab w:val="left" w:pos="2160"/>
        </w:tabs>
        <w:spacing w:after="0"/>
        <w:ind w:firstLine="0"/>
        <w:jc w:val="left"/>
        <w:rPr>
          <w:sz w:val="24"/>
          <w:szCs w:val="24"/>
        </w:rPr>
      </w:pPr>
    </w:p>
    <w:p w:rsidR="006749F4" w:rsidRPr="00AD000A" w:rsidRDefault="006749F4" w:rsidP="006749F4">
      <w:pPr>
        <w:pStyle w:val="1"/>
        <w:tabs>
          <w:tab w:val="left" w:pos="1440"/>
          <w:tab w:val="left" w:pos="2160"/>
        </w:tabs>
        <w:spacing w:after="0"/>
        <w:ind w:firstLine="1440"/>
        <w:jc w:val="left"/>
        <w:rPr>
          <w:sz w:val="24"/>
          <w:szCs w:val="24"/>
        </w:rPr>
      </w:pPr>
      <w:r w:rsidRPr="00AD000A">
        <w:rPr>
          <w:sz w:val="24"/>
          <w:szCs w:val="24"/>
        </w:rPr>
        <w:t>1.</w:t>
      </w:r>
      <w:r w:rsidRPr="00AD000A">
        <w:rPr>
          <w:sz w:val="24"/>
          <w:szCs w:val="24"/>
        </w:rPr>
        <w:tab/>
        <w:t>The wastewater component shall meet the following requirements:</w:t>
      </w:r>
    </w:p>
    <w:p w:rsidR="006749F4" w:rsidRDefault="006749F4" w:rsidP="006749F4">
      <w:pPr>
        <w:pStyle w:val="a"/>
        <w:tabs>
          <w:tab w:val="left" w:pos="1440"/>
          <w:tab w:val="left" w:pos="2160"/>
          <w:tab w:val="left" w:pos="2880"/>
        </w:tabs>
        <w:spacing w:after="0"/>
        <w:ind w:firstLine="0"/>
        <w:jc w:val="left"/>
        <w:rPr>
          <w:sz w:val="24"/>
          <w:szCs w:val="24"/>
        </w:rPr>
      </w:pPr>
    </w:p>
    <w:p w:rsidR="006749F4" w:rsidRPr="00B82518" w:rsidRDefault="006749F4" w:rsidP="006749F4">
      <w:pPr>
        <w:pStyle w:val="Section"/>
        <w:tabs>
          <w:tab w:val="clear" w:pos="0"/>
          <w:tab w:val="clear" w:pos="180"/>
          <w:tab w:val="clear" w:pos="360"/>
        </w:tabs>
        <w:spacing w:after="0" w:line="240" w:lineRule="auto"/>
        <w:ind w:firstLine="0"/>
        <w:rPr>
          <w:b w:val="0"/>
          <w:color w:val="000000"/>
          <w:sz w:val="24"/>
          <w:szCs w:val="24"/>
        </w:rPr>
      </w:pPr>
      <w:r>
        <w:rPr>
          <w:b w:val="0"/>
          <w:color w:val="000000"/>
          <w:sz w:val="24"/>
          <w:szCs w:val="24"/>
        </w:rPr>
        <w:tab/>
      </w:r>
      <w:r>
        <w:rPr>
          <w:b w:val="0"/>
          <w:color w:val="000000"/>
          <w:sz w:val="24"/>
          <w:szCs w:val="24"/>
        </w:rPr>
        <w:tab/>
      </w:r>
      <w:r>
        <w:rPr>
          <w:b w:val="0"/>
          <w:color w:val="000000"/>
          <w:sz w:val="24"/>
          <w:szCs w:val="24"/>
        </w:rPr>
        <w:tab/>
      </w:r>
      <w:r>
        <w:rPr>
          <w:b w:val="0"/>
          <w:color w:val="000000"/>
          <w:sz w:val="24"/>
          <w:szCs w:val="24"/>
        </w:rPr>
        <w:tab/>
      </w:r>
      <w:r>
        <w:rPr>
          <w:b w:val="0"/>
          <w:color w:val="000000"/>
          <w:sz w:val="24"/>
          <w:szCs w:val="24"/>
        </w:rPr>
        <w:tab/>
      </w:r>
      <w:r>
        <w:rPr>
          <w:b w:val="0"/>
          <w:color w:val="000000"/>
          <w:sz w:val="24"/>
          <w:szCs w:val="24"/>
        </w:rPr>
        <w:tab/>
      </w:r>
      <w:r>
        <w:rPr>
          <w:b w:val="0"/>
          <w:color w:val="000000"/>
          <w:sz w:val="24"/>
          <w:szCs w:val="24"/>
        </w:rPr>
        <w:tab/>
      </w:r>
      <w:r>
        <w:rPr>
          <w:b w:val="0"/>
          <w:color w:val="000000"/>
          <w:sz w:val="24"/>
          <w:szCs w:val="24"/>
        </w:rPr>
        <w:tab/>
      </w:r>
      <w:proofErr w:type="gramStart"/>
      <w:r>
        <w:rPr>
          <w:b w:val="0"/>
          <w:color w:val="000000"/>
          <w:sz w:val="24"/>
          <w:szCs w:val="24"/>
        </w:rPr>
        <w:t>a</w:t>
      </w:r>
      <w:r w:rsidRPr="00B82518">
        <w:rPr>
          <w:b w:val="0"/>
          <w:color w:val="000000"/>
          <w:sz w:val="24"/>
          <w:szCs w:val="24"/>
        </w:rPr>
        <w:t xml:space="preserve">. </w:t>
      </w:r>
      <w:r>
        <w:rPr>
          <w:b w:val="0"/>
          <w:color w:val="000000"/>
          <w:sz w:val="24"/>
          <w:szCs w:val="24"/>
        </w:rPr>
        <w:t>-</w:t>
      </w:r>
      <w:r w:rsidRPr="00B82518">
        <w:rPr>
          <w:b w:val="0"/>
          <w:color w:val="000000"/>
          <w:sz w:val="24"/>
          <w:szCs w:val="24"/>
        </w:rPr>
        <w:t xml:space="preserve"> </w:t>
      </w:r>
      <w:proofErr w:type="spellStart"/>
      <w:r>
        <w:rPr>
          <w:b w:val="0"/>
          <w:color w:val="000000"/>
          <w:sz w:val="24"/>
          <w:szCs w:val="24"/>
        </w:rPr>
        <w:t>h.iii</w:t>
      </w:r>
      <w:proofErr w:type="spellEnd"/>
      <w:r w:rsidRPr="00B82518">
        <w:rPr>
          <w:b w:val="0"/>
          <w:color w:val="000000"/>
          <w:sz w:val="24"/>
          <w:szCs w:val="24"/>
        </w:rPr>
        <w:t>.</w:t>
      </w:r>
      <w:proofErr w:type="gramEnd"/>
      <w:r w:rsidRPr="00B82518">
        <w:rPr>
          <w:b w:val="0"/>
          <w:color w:val="000000"/>
          <w:sz w:val="24"/>
          <w:szCs w:val="24"/>
        </w:rPr>
        <w:t xml:space="preserve">  …</w:t>
      </w:r>
    </w:p>
    <w:p w:rsidR="006749F4" w:rsidRDefault="006749F4" w:rsidP="006749F4">
      <w:pPr>
        <w:pStyle w:val="a"/>
        <w:tabs>
          <w:tab w:val="left" w:pos="1440"/>
          <w:tab w:val="left" w:pos="2160"/>
        </w:tabs>
        <w:spacing w:after="0"/>
        <w:ind w:firstLine="0"/>
        <w:jc w:val="left"/>
        <w:rPr>
          <w:sz w:val="24"/>
          <w:szCs w:val="24"/>
        </w:rPr>
      </w:pPr>
    </w:p>
    <w:p w:rsidR="006749F4" w:rsidRPr="00386F4E" w:rsidRDefault="006749F4" w:rsidP="006749F4">
      <w:pPr>
        <w:pStyle w:val="a"/>
        <w:tabs>
          <w:tab w:val="left" w:pos="1440"/>
          <w:tab w:val="left" w:pos="2160"/>
          <w:tab w:val="left" w:pos="2880"/>
        </w:tabs>
        <w:spacing w:after="0"/>
        <w:ind w:firstLine="2160"/>
        <w:jc w:val="left"/>
        <w:rPr>
          <w:sz w:val="24"/>
          <w:szCs w:val="24"/>
        </w:rPr>
      </w:pPr>
      <w:proofErr w:type="spellStart"/>
      <w:proofErr w:type="gramStart"/>
      <w:r w:rsidRPr="00386F4E">
        <w:rPr>
          <w:sz w:val="24"/>
          <w:szCs w:val="24"/>
        </w:rPr>
        <w:t>i</w:t>
      </w:r>
      <w:proofErr w:type="spellEnd"/>
      <w:proofErr w:type="gramEnd"/>
      <w:r w:rsidRPr="00386F4E">
        <w:rPr>
          <w:sz w:val="24"/>
          <w:szCs w:val="24"/>
        </w:rPr>
        <w:t>.</w:t>
      </w:r>
      <w:r w:rsidRPr="00386F4E">
        <w:rPr>
          <w:sz w:val="24"/>
          <w:szCs w:val="24"/>
        </w:rPr>
        <w:tab/>
      </w:r>
      <w:r w:rsidRPr="00386F4E">
        <w:rPr>
          <w:strike/>
          <w:sz w:val="24"/>
          <w:szCs w:val="24"/>
        </w:rPr>
        <w:t xml:space="preserve">for wastewater tanks that would normally be required to have a control device or recovery device, these devices shall not be required to meet the 90 percent removal efficiency or 50 </w:t>
      </w:r>
      <w:proofErr w:type="spellStart"/>
      <w:r w:rsidRPr="00386F4E">
        <w:rPr>
          <w:strike/>
          <w:sz w:val="24"/>
          <w:szCs w:val="24"/>
        </w:rPr>
        <w:t>ppmv</w:t>
      </w:r>
      <w:proofErr w:type="spellEnd"/>
      <w:r w:rsidRPr="00386F4E">
        <w:rPr>
          <w:strike/>
          <w:sz w:val="24"/>
          <w:szCs w:val="24"/>
        </w:rPr>
        <w:t xml:space="preserve"> concentration during periods of malfunction or maintenance on the devices for periods not to exceed 336 hours per </w:t>
      </w:r>
      <w:proofErr w:type="spellStart"/>
      <w:r w:rsidRPr="00386F4E">
        <w:rPr>
          <w:strike/>
          <w:sz w:val="24"/>
          <w:szCs w:val="24"/>
        </w:rPr>
        <w:t>year</w:t>
      </w:r>
      <w:r w:rsidRPr="00944BEF">
        <w:rPr>
          <w:sz w:val="24"/>
          <w:szCs w:val="24"/>
          <w:u w:val="single"/>
        </w:rPr>
        <w:t>R</w:t>
      </w:r>
      <w:r w:rsidRPr="00386F4E">
        <w:rPr>
          <w:sz w:val="24"/>
          <w:szCs w:val="24"/>
          <w:u w:val="single"/>
        </w:rPr>
        <w:t>epealed</w:t>
      </w:r>
      <w:proofErr w:type="spellEnd"/>
      <w:r w:rsidRPr="00386F4E">
        <w:rPr>
          <w:sz w:val="24"/>
          <w:szCs w:val="24"/>
        </w:rPr>
        <w:t>.</w:t>
      </w:r>
    </w:p>
    <w:p w:rsidR="006749F4" w:rsidRPr="00386F4E" w:rsidRDefault="006749F4" w:rsidP="006749F4">
      <w:pPr>
        <w:pStyle w:val="1"/>
        <w:tabs>
          <w:tab w:val="left" w:pos="1440"/>
          <w:tab w:val="left" w:pos="2160"/>
        </w:tabs>
        <w:spacing w:after="0"/>
        <w:ind w:firstLine="0"/>
        <w:jc w:val="left"/>
        <w:rPr>
          <w:sz w:val="24"/>
          <w:szCs w:val="24"/>
        </w:rPr>
      </w:pPr>
    </w:p>
    <w:p w:rsidR="006749F4" w:rsidRPr="00B82518" w:rsidRDefault="006749F4" w:rsidP="006749F4">
      <w:pPr>
        <w:pStyle w:val="Section"/>
        <w:tabs>
          <w:tab w:val="clear" w:pos="0"/>
          <w:tab w:val="clear" w:pos="180"/>
          <w:tab w:val="clear" w:pos="360"/>
        </w:tabs>
        <w:spacing w:after="0" w:line="240" w:lineRule="auto"/>
        <w:ind w:firstLine="0"/>
        <w:rPr>
          <w:b w:val="0"/>
          <w:color w:val="000000"/>
          <w:sz w:val="24"/>
          <w:szCs w:val="24"/>
        </w:rPr>
      </w:pPr>
      <w:proofErr w:type="gramStart"/>
      <w:r>
        <w:rPr>
          <w:b w:val="0"/>
          <w:color w:val="000000"/>
          <w:sz w:val="24"/>
          <w:szCs w:val="24"/>
        </w:rPr>
        <w:t>B.2</w:t>
      </w:r>
      <w:r w:rsidRPr="00B82518">
        <w:rPr>
          <w:b w:val="0"/>
          <w:color w:val="000000"/>
          <w:sz w:val="24"/>
          <w:szCs w:val="24"/>
        </w:rPr>
        <w:t xml:space="preserve">. </w:t>
      </w:r>
      <w:r>
        <w:rPr>
          <w:b w:val="0"/>
          <w:color w:val="000000"/>
          <w:sz w:val="24"/>
          <w:szCs w:val="24"/>
        </w:rPr>
        <w:t>-</w:t>
      </w:r>
      <w:r w:rsidRPr="00B82518">
        <w:rPr>
          <w:b w:val="0"/>
          <w:color w:val="000000"/>
          <w:sz w:val="24"/>
          <w:szCs w:val="24"/>
        </w:rPr>
        <w:t xml:space="preserve"> </w:t>
      </w:r>
      <w:r>
        <w:rPr>
          <w:b w:val="0"/>
          <w:color w:val="000000"/>
          <w:sz w:val="24"/>
          <w:szCs w:val="24"/>
        </w:rPr>
        <w:t>I</w:t>
      </w:r>
      <w:r w:rsidRPr="00B82518">
        <w:rPr>
          <w:b w:val="0"/>
          <w:color w:val="000000"/>
          <w:sz w:val="24"/>
          <w:szCs w:val="24"/>
        </w:rPr>
        <w:t>.</w:t>
      </w:r>
      <w:proofErr w:type="gramEnd"/>
      <w:r w:rsidRPr="00B82518">
        <w:rPr>
          <w:b w:val="0"/>
          <w:color w:val="000000"/>
          <w:sz w:val="24"/>
          <w:szCs w:val="24"/>
        </w:rPr>
        <w:t xml:space="preserve">  …</w:t>
      </w:r>
    </w:p>
    <w:p w:rsidR="006749F4" w:rsidRPr="00AD000A" w:rsidRDefault="006749F4" w:rsidP="006749F4">
      <w:pPr>
        <w:pStyle w:val="HistoricalNote"/>
        <w:spacing w:after="0"/>
        <w:ind w:firstLine="0"/>
        <w:jc w:val="left"/>
        <w:rPr>
          <w:sz w:val="24"/>
          <w:szCs w:val="24"/>
        </w:rPr>
      </w:pPr>
    </w:p>
    <w:p w:rsidR="006749F4" w:rsidRPr="00AD000A" w:rsidRDefault="006749F4" w:rsidP="006749F4">
      <w:pPr>
        <w:pStyle w:val="AuthorityNote"/>
        <w:ind w:firstLine="720"/>
        <w:jc w:val="left"/>
        <w:rPr>
          <w:sz w:val="24"/>
          <w:szCs w:val="24"/>
        </w:rPr>
      </w:pPr>
      <w:r w:rsidRPr="00AD000A">
        <w:rPr>
          <w:sz w:val="24"/>
          <w:szCs w:val="24"/>
        </w:rPr>
        <w:t>AUTHORITY NOTE:</w:t>
      </w:r>
      <w:r w:rsidRPr="00AD000A">
        <w:rPr>
          <w:sz w:val="24"/>
          <w:szCs w:val="24"/>
        </w:rPr>
        <w:tab/>
      </w:r>
      <w:r w:rsidRPr="00AD000A">
        <w:rPr>
          <w:sz w:val="24"/>
          <w:szCs w:val="24"/>
        </w:rPr>
        <w:tab/>
        <w:t>Promulgated in accordance with R.S. 30:2054.</w:t>
      </w:r>
    </w:p>
    <w:p w:rsidR="006749F4" w:rsidRDefault="006749F4" w:rsidP="001930AB">
      <w:pPr>
        <w:pStyle w:val="HistoricalNote"/>
        <w:spacing w:after="0"/>
        <w:ind w:firstLine="720"/>
        <w:jc w:val="left"/>
      </w:pPr>
      <w:r w:rsidRPr="00AD000A">
        <w:rPr>
          <w:sz w:val="24"/>
          <w:szCs w:val="24"/>
        </w:rPr>
        <w:t>HISTORICAL NOTE:</w:t>
      </w:r>
      <w:r w:rsidRPr="00AD000A">
        <w:rPr>
          <w:sz w:val="24"/>
          <w:szCs w:val="24"/>
        </w:rPr>
        <w:tab/>
        <w:t>Promulgated by the Department of Environmental Quality, Office of Air Quality and Radiation Protection, Air Quality Division, LR 21:936 (September 1995), amended LR 22:1212 (December 1996), LR 24:26 (January 1998), LR 25:850 (May 1999), amended by the Office of Environmental Assessment, Environmental Planning Division, LR 26:2453 (November 2000), LR 28:1765 (August 2002), LR 30:747 (April 2004), amended by the Office of the Secretary, Legal Affairs Division, LR 31:2441 (October 2005), LR 33:2087 (October 2007), LR 37:3232 (November 2011), amended by the Office of the Secretary, Legal Division, LR 38:2752 (November 2012), LR 42:**.</w:t>
      </w:r>
      <w:bookmarkStart w:id="1" w:name="_GoBack"/>
      <w:bookmarkEnd w:id="1"/>
    </w:p>
    <w:sectPr w:rsidR="006749F4" w:rsidSect="001930AB">
      <w:headerReference w:type="default" r:id="rId10"/>
      <w:pgSz w:w="12240" w:h="15840" w:code="1"/>
      <w:pgMar w:top="1440" w:right="1440" w:bottom="1440" w:left="1440" w:header="360" w:footer="720" w:gutter="0"/>
      <w:paperSrc w:first="11" w:other="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F4" w:rsidRDefault="006749F4" w:rsidP="006749F4">
      <w:r>
        <w:separator/>
      </w:r>
    </w:p>
  </w:endnote>
  <w:endnote w:type="continuationSeparator" w:id="0">
    <w:p w:rsidR="006749F4" w:rsidRDefault="006749F4" w:rsidP="0067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F4" w:rsidRDefault="006749F4" w:rsidP="006749F4">
      <w:r>
        <w:separator/>
      </w:r>
    </w:p>
  </w:footnote>
  <w:footnote w:type="continuationSeparator" w:id="0">
    <w:p w:rsidR="006749F4" w:rsidRDefault="006749F4" w:rsidP="0067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F4" w:rsidRDefault="006749F4">
    <w:pPr>
      <w:pStyle w:val="Header"/>
    </w:pPr>
    <w:r>
      <w:t>Proposed/April 20, 2016</w:t>
    </w:r>
    <w:r>
      <w:tab/>
    </w:r>
    <w:r>
      <w:tab/>
      <w:t>AQ316</w:t>
    </w:r>
  </w:p>
  <w:p w:rsidR="006749F4" w:rsidRDefault="00674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5147"/>
    <w:rsid w:val="0000277C"/>
    <w:rsid w:val="00004D5A"/>
    <w:rsid w:val="00005364"/>
    <w:rsid w:val="000126D0"/>
    <w:rsid w:val="00024BD6"/>
    <w:rsid w:val="000342D4"/>
    <w:rsid w:val="000353CB"/>
    <w:rsid w:val="0004418D"/>
    <w:rsid w:val="00053C35"/>
    <w:rsid w:val="0005446A"/>
    <w:rsid w:val="000724F8"/>
    <w:rsid w:val="000824EB"/>
    <w:rsid w:val="00092E49"/>
    <w:rsid w:val="000A4596"/>
    <w:rsid w:val="000B2128"/>
    <w:rsid w:val="000C36AB"/>
    <w:rsid w:val="000C3B2D"/>
    <w:rsid w:val="00106EA2"/>
    <w:rsid w:val="001072DE"/>
    <w:rsid w:val="001232AE"/>
    <w:rsid w:val="00133B87"/>
    <w:rsid w:val="00155BF0"/>
    <w:rsid w:val="00174ED9"/>
    <w:rsid w:val="00190510"/>
    <w:rsid w:val="00191A90"/>
    <w:rsid w:val="001930AB"/>
    <w:rsid w:val="0019352F"/>
    <w:rsid w:val="001A5E2C"/>
    <w:rsid w:val="001B4587"/>
    <w:rsid w:val="001B53BE"/>
    <w:rsid w:val="001B79A8"/>
    <w:rsid w:val="001C5A6E"/>
    <w:rsid w:val="001C757F"/>
    <w:rsid w:val="001D17C9"/>
    <w:rsid w:val="001D3AA1"/>
    <w:rsid w:val="001D56F6"/>
    <w:rsid w:val="001D77B4"/>
    <w:rsid w:val="001F6200"/>
    <w:rsid w:val="00202D7B"/>
    <w:rsid w:val="002056A5"/>
    <w:rsid w:val="00205F6A"/>
    <w:rsid w:val="00210F43"/>
    <w:rsid w:val="002116D7"/>
    <w:rsid w:val="00225B2B"/>
    <w:rsid w:val="0023015E"/>
    <w:rsid w:val="00240179"/>
    <w:rsid w:val="0024308A"/>
    <w:rsid w:val="00245CB3"/>
    <w:rsid w:val="002557BA"/>
    <w:rsid w:val="00260A44"/>
    <w:rsid w:val="0026650B"/>
    <w:rsid w:val="0028218F"/>
    <w:rsid w:val="002951E9"/>
    <w:rsid w:val="00296DF3"/>
    <w:rsid w:val="00297865"/>
    <w:rsid w:val="002A6CA7"/>
    <w:rsid w:val="002B7ABF"/>
    <w:rsid w:val="002C2504"/>
    <w:rsid w:val="002C6279"/>
    <w:rsid w:val="002C7327"/>
    <w:rsid w:val="002E4166"/>
    <w:rsid w:val="002E6F10"/>
    <w:rsid w:val="002E7C14"/>
    <w:rsid w:val="002E7F56"/>
    <w:rsid w:val="002F0328"/>
    <w:rsid w:val="002F1DFF"/>
    <w:rsid w:val="002F238A"/>
    <w:rsid w:val="002F6B52"/>
    <w:rsid w:val="00300FC2"/>
    <w:rsid w:val="00302C9C"/>
    <w:rsid w:val="00305A54"/>
    <w:rsid w:val="003066D4"/>
    <w:rsid w:val="00307383"/>
    <w:rsid w:val="00312DF3"/>
    <w:rsid w:val="00321E43"/>
    <w:rsid w:val="003300C7"/>
    <w:rsid w:val="00341FD5"/>
    <w:rsid w:val="003500B9"/>
    <w:rsid w:val="00376CF3"/>
    <w:rsid w:val="00386A11"/>
    <w:rsid w:val="00390EBC"/>
    <w:rsid w:val="00392C65"/>
    <w:rsid w:val="00393B98"/>
    <w:rsid w:val="00393C4F"/>
    <w:rsid w:val="003A005A"/>
    <w:rsid w:val="003A3288"/>
    <w:rsid w:val="003A4119"/>
    <w:rsid w:val="003A5BF5"/>
    <w:rsid w:val="003B2B55"/>
    <w:rsid w:val="003D4779"/>
    <w:rsid w:val="003D4978"/>
    <w:rsid w:val="003D7D24"/>
    <w:rsid w:val="003E41D6"/>
    <w:rsid w:val="003F07E1"/>
    <w:rsid w:val="003F5AAE"/>
    <w:rsid w:val="00404236"/>
    <w:rsid w:val="00410EBB"/>
    <w:rsid w:val="00411F35"/>
    <w:rsid w:val="00416895"/>
    <w:rsid w:val="00427F9C"/>
    <w:rsid w:val="00441CCB"/>
    <w:rsid w:val="00442690"/>
    <w:rsid w:val="004437A2"/>
    <w:rsid w:val="00450942"/>
    <w:rsid w:val="004517B8"/>
    <w:rsid w:val="00465C45"/>
    <w:rsid w:val="004920F6"/>
    <w:rsid w:val="00495B05"/>
    <w:rsid w:val="00496FB4"/>
    <w:rsid w:val="004A4D98"/>
    <w:rsid w:val="004A4E68"/>
    <w:rsid w:val="004A7336"/>
    <w:rsid w:val="004B3894"/>
    <w:rsid w:val="004D1BAE"/>
    <w:rsid w:val="004E09F3"/>
    <w:rsid w:val="004E179C"/>
    <w:rsid w:val="004E608F"/>
    <w:rsid w:val="004F0419"/>
    <w:rsid w:val="004F3071"/>
    <w:rsid w:val="00511D9C"/>
    <w:rsid w:val="0052345E"/>
    <w:rsid w:val="00525046"/>
    <w:rsid w:val="0053096D"/>
    <w:rsid w:val="00530B46"/>
    <w:rsid w:val="00530D8F"/>
    <w:rsid w:val="00557E52"/>
    <w:rsid w:val="005669BB"/>
    <w:rsid w:val="00573734"/>
    <w:rsid w:val="0058138D"/>
    <w:rsid w:val="00582A02"/>
    <w:rsid w:val="00584EE2"/>
    <w:rsid w:val="005C0C31"/>
    <w:rsid w:val="005D171B"/>
    <w:rsid w:val="005D272D"/>
    <w:rsid w:val="005E511D"/>
    <w:rsid w:val="0060212A"/>
    <w:rsid w:val="00607D47"/>
    <w:rsid w:val="00612B19"/>
    <w:rsid w:val="00616D80"/>
    <w:rsid w:val="0062645A"/>
    <w:rsid w:val="00627B40"/>
    <w:rsid w:val="006405C3"/>
    <w:rsid w:val="006510B8"/>
    <w:rsid w:val="00656095"/>
    <w:rsid w:val="00667F5F"/>
    <w:rsid w:val="006749F4"/>
    <w:rsid w:val="00677BCF"/>
    <w:rsid w:val="00687B38"/>
    <w:rsid w:val="00690E75"/>
    <w:rsid w:val="006A60FE"/>
    <w:rsid w:val="006B406B"/>
    <w:rsid w:val="006C21FF"/>
    <w:rsid w:val="006C6746"/>
    <w:rsid w:val="006C6BDD"/>
    <w:rsid w:val="006D1AFA"/>
    <w:rsid w:val="006E3237"/>
    <w:rsid w:val="006F07DC"/>
    <w:rsid w:val="006F7147"/>
    <w:rsid w:val="006F7E85"/>
    <w:rsid w:val="00700EB6"/>
    <w:rsid w:val="00703A79"/>
    <w:rsid w:val="007074B1"/>
    <w:rsid w:val="00713CC7"/>
    <w:rsid w:val="00713E47"/>
    <w:rsid w:val="007167AB"/>
    <w:rsid w:val="00727B1A"/>
    <w:rsid w:val="007403F0"/>
    <w:rsid w:val="00740967"/>
    <w:rsid w:val="00747B05"/>
    <w:rsid w:val="007503E4"/>
    <w:rsid w:val="00752532"/>
    <w:rsid w:val="0075408F"/>
    <w:rsid w:val="00757596"/>
    <w:rsid w:val="007704D4"/>
    <w:rsid w:val="00775A2B"/>
    <w:rsid w:val="00782B42"/>
    <w:rsid w:val="007A2EC0"/>
    <w:rsid w:val="007A71F3"/>
    <w:rsid w:val="007A788D"/>
    <w:rsid w:val="007C405C"/>
    <w:rsid w:val="007D04D9"/>
    <w:rsid w:val="007D1717"/>
    <w:rsid w:val="007D4989"/>
    <w:rsid w:val="007D589A"/>
    <w:rsid w:val="007F2DFA"/>
    <w:rsid w:val="007F723A"/>
    <w:rsid w:val="00806BC9"/>
    <w:rsid w:val="00811699"/>
    <w:rsid w:val="0082208D"/>
    <w:rsid w:val="00825808"/>
    <w:rsid w:val="008264B8"/>
    <w:rsid w:val="008316F5"/>
    <w:rsid w:val="00831A4E"/>
    <w:rsid w:val="00833C61"/>
    <w:rsid w:val="008447EA"/>
    <w:rsid w:val="00845F26"/>
    <w:rsid w:val="00871A6B"/>
    <w:rsid w:val="0087540C"/>
    <w:rsid w:val="0087639D"/>
    <w:rsid w:val="008828A6"/>
    <w:rsid w:val="00894009"/>
    <w:rsid w:val="00897F8A"/>
    <w:rsid w:val="008A6164"/>
    <w:rsid w:val="008C31F3"/>
    <w:rsid w:val="008C393C"/>
    <w:rsid w:val="008D126D"/>
    <w:rsid w:val="008F1B9C"/>
    <w:rsid w:val="008F1E54"/>
    <w:rsid w:val="008F4313"/>
    <w:rsid w:val="008F7654"/>
    <w:rsid w:val="008F7862"/>
    <w:rsid w:val="00901D1E"/>
    <w:rsid w:val="0092093A"/>
    <w:rsid w:val="00920B7C"/>
    <w:rsid w:val="00920FB5"/>
    <w:rsid w:val="0092181A"/>
    <w:rsid w:val="009262A0"/>
    <w:rsid w:val="00931B54"/>
    <w:rsid w:val="00943CEB"/>
    <w:rsid w:val="009441EF"/>
    <w:rsid w:val="00944BEF"/>
    <w:rsid w:val="009452B6"/>
    <w:rsid w:val="00947A0F"/>
    <w:rsid w:val="0096042C"/>
    <w:rsid w:val="00965739"/>
    <w:rsid w:val="00965979"/>
    <w:rsid w:val="009874DD"/>
    <w:rsid w:val="009925FC"/>
    <w:rsid w:val="00992D89"/>
    <w:rsid w:val="009A1785"/>
    <w:rsid w:val="009A1AE8"/>
    <w:rsid w:val="009B0891"/>
    <w:rsid w:val="009C152F"/>
    <w:rsid w:val="009C2423"/>
    <w:rsid w:val="009C3735"/>
    <w:rsid w:val="009D2858"/>
    <w:rsid w:val="009D5994"/>
    <w:rsid w:val="009F3622"/>
    <w:rsid w:val="009F3ABE"/>
    <w:rsid w:val="00A00AB6"/>
    <w:rsid w:val="00A21B67"/>
    <w:rsid w:val="00A41106"/>
    <w:rsid w:val="00A41136"/>
    <w:rsid w:val="00A4589D"/>
    <w:rsid w:val="00A61744"/>
    <w:rsid w:val="00A75263"/>
    <w:rsid w:val="00A75E03"/>
    <w:rsid w:val="00A762B9"/>
    <w:rsid w:val="00A7658C"/>
    <w:rsid w:val="00A76A7A"/>
    <w:rsid w:val="00A80186"/>
    <w:rsid w:val="00A8402F"/>
    <w:rsid w:val="00A9353E"/>
    <w:rsid w:val="00AA492C"/>
    <w:rsid w:val="00AA6B49"/>
    <w:rsid w:val="00AA7881"/>
    <w:rsid w:val="00AB172A"/>
    <w:rsid w:val="00AB17D6"/>
    <w:rsid w:val="00AB6F63"/>
    <w:rsid w:val="00AD073F"/>
    <w:rsid w:val="00AD366F"/>
    <w:rsid w:val="00AE6D6D"/>
    <w:rsid w:val="00AE7F03"/>
    <w:rsid w:val="00AF78BB"/>
    <w:rsid w:val="00B04975"/>
    <w:rsid w:val="00B053D7"/>
    <w:rsid w:val="00B118A8"/>
    <w:rsid w:val="00B25C2A"/>
    <w:rsid w:val="00B4354D"/>
    <w:rsid w:val="00B43654"/>
    <w:rsid w:val="00B43842"/>
    <w:rsid w:val="00B53EBD"/>
    <w:rsid w:val="00B553CF"/>
    <w:rsid w:val="00B75505"/>
    <w:rsid w:val="00B93681"/>
    <w:rsid w:val="00B93E2B"/>
    <w:rsid w:val="00BB6A8B"/>
    <w:rsid w:val="00BC6B6F"/>
    <w:rsid w:val="00BD0874"/>
    <w:rsid w:val="00BD4AF1"/>
    <w:rsid w:val="00BD6757"/>
    <w:rsid w:val="00BE0BC6"/>
    <w:rsid w:val="00BE47ED"/>
    <w:rsid w:val="00BF56F8"/>
    <w:rsid w:val="00C2125B"/>
    <w:rsid w:val="00C30C92"/>
    <w:rsid w:val="00C316E8"/>
    <w:rsid w:val="00C35371"/>
    <w:rsid w:val="00C51B32"/>
    <w:rsid w:val="00C546C8"/>
    <w:rsid w:val="00C61F60"/>
    <w:rsid w:val="00C622FB"/>
    <w:rsid w:val="00C70727"/>
    <w:rsid w:val="00C7133F"/>
    <w:rsid w:val="00C822A6"/>
    <w:rsid w:val="00C9111B"/>
    <w:rsid w:val="00C91F45"/>
    <w:rsid w:val="00C96CE3"/>
    <w:rsid w:val="00CB4964"/>
    <w:rsid w:val="00CD01E9"/>
    <w:rsid w:val="00CD5FAB"/>
    <w:rsid w:val="00CE017B"/>
    <w:rsid w:val="00CE5FD4"/>
    <w:rsid w:val="00CF3E85"/>
    <w:rsid w:val="00CF641C"/>
    <w:rsid w:val="00CF74EC"/>
    <w:rsid w:val="00CF7C26"/>
    <w:rsid w:val="00D06D24"/>
    <w:rsid w:val="00D23BFC"/>
    <w:rsid w:val="00D34ACC"/>
    <w:rsid w:val="00D37C61"/>
    <w:rsid w:val="00D707CE"/>
    <w:rsid w:val="00D743A5"/>
    <w:rsid w:val="00D748A9"/>
    <w:rsid w:val="00D7657A"/>
    <w:rsid w:val="00D768D6"/>
    <w:rsid w:val="00D8549E"/>
    <w:rsid w:val="00D87497"/>
    <w:rsid w:val="00D969AC"/>
    <w:rsid w:val="00DB426A"/>
    <w:rsid w:val="00DB6B80"/>
    <w:rsid w:val="00DD28A5"/>
    <w:rsid w:val="00DD48E2"/>
    <w:rsid w:val="00DD684C"/>
    <w:rsid w:val="00DE19EC"/>
    <w:rsid w:val="00DF30C7"/>
    <w:rsid w:val="00E02FFB"/>
    <w:rsid w:val="00E036DB"/>
    <w:rsid w:val="00E21657"/>
    <w:rsid w:val="00E253E5"/>
    <w:rsid w:val="00E265CB"/>
    <w:rsid w:val="00E353C3"/>
    <w:rsid w:val="00E63E72"/>
    <w:rsid w:val="00E67F21"/>
    <w:rsid w:val="00E94BF4"/>
    <w:rsid w:val="00EA3713"/>
    <w:rsid w:val="00EC3052"/>
    <w:rsid w:val="00ED363A"/>
    <w:rsid w:val="00ED59AB"/>
    <w:rsid w:val="00EE280A"/>
    <w:rsid w:val="00EE4BFB"/>
    <w:rsid w:val="00EF36C1"/>
    <w:rsid w:val="00EF6AB3"/>
    <w:rsid w:val="00F05BD4"/>
    <w:rsid w:val="00F16DAB"/>
    <w:rsid w:val="00F200A4"/>
    <w:rsid w:val="00F212EC"/>
    <w:rsid w:val="00F238CC"/>
    <w:rsid w:val="00F33F58"/>
    <w:rsid w:val="00F36382"/>
    <w:rsid w:val="00F50A56"/>
    <w:rsid w:val="00F61489"/>
    <w:rsid w:val="00F652EE"/>
    <w:rsid w:val="00F65370"/>
    <w:rsid w:val="00F7136D"/>
    <w:rsid w:val="00F727E6"/>
    <w:rsid w:val="00F73292"/>
    <w:rsid w:val="00F92424"/>
    <w:rsid w:val="00F9372A"/>
    <w:rsid w:val="00F94AD8"/>
    <w:rsid w:val="00FA1E61"/>
    <w:rsid w:val="00FA23EB"/>
    <w:rsid w:val="00FA5147"/>
    <w:rsid w:val="00FC1876"/>
    <w:rsid w:val="00FC689C"/>
    <w:rsid w:val="00FF132B"/>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Title">
    <w:name w:val="Title"/>
    <w:basedOn w:val="Normal"/>
    <w:link w:val="TitleChar"/>
    <w:qFormat/>
    <w:rsid w:val="006749F4"/>
    <w:pPr>
      <w:jc w:val="center"/>
    </w:pPr>
    <w:rPr>
      <w:szCs w:val="20"/>
    </w:rPr>
  </w:style>
  <w:style w:type="character" w:customStyle="1" w:styleId="TitleChar">
    <w:name w:val="Title Char"/>
    <w:basedOn w:val="DefaultParagraphFont"/>
    <w:link w:val="Title"/>
    <w:rsid w:val="006749F4"/>
    <w:rPr>
      <w:sz w:val="24"/>
    </w:rPr>
  </w:style>
  <w:style w:type="paragraph" w:customStyle="1" w:styleId="Section">
    <w:name w:val="Section"/>
    <w:basedOn w:val="Normal"/>
    <w:rsid w:val="006749F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6749F4"/>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AuthorityNote">
    <w:name w:val="Authority Note"/>
    <w:basedOn w:val="Normal"/>
    <w:link w:val="AuthorityNoteChar"/>
    <w:rsid w:val="006749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6749F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6749F4"/>
    <w:pPr>
      <w:keepNext/>
      <w:keepLines/>
      <w:spacing w:after="120"/>
      <w:outlineLvl w:val="0"/>
    </w:pPr>
    <w:rPr>
      <w:b/>
      <w:kern w:val="2"/>
      <w:sz w:val="28"/>
    </w:rPr>
  </w:style>
  <w:style w:type="paragraph" w:customStyle="1" w:styleId="TOCPart">
    <w:name w:val="TOCPart"/>
    <w:rsid w:val="006749F4"/>
    <w:pPr>
      <w:keepNext/>
      <w:keepLines/>
      <w:spacing w:before="240" w:after="240"/>
      <w:jc w:val="center"/>
    </w:pPr>
    <w:rPr>
      <w:b/>
      <w:noProof/>
      <w:sz w:val="28"/>
    </w:rPr>
  </w:style>
  <w:style w:type="paragraph" w:customStyle="1" w:styleId="Chapter">
    <w:name w:val="Chapter"/>
    <w:basedOn w:val="Normal"/>
    <w:link w:val="ChapterChar"/>
    <w:rsid w:val="006749F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locked/>
    <w:rsid w:val="006749F4"/>
    <w:rPr>
      <w:kern w:val="2"/>
    </w:rPr>
  </w:style>
  <w:style w:type="character" w:customStyle="1" w:styleId="HistoricalNoteChar">
    <w:name w:val="Historical Note Char"/>
    <w:link w:val="HistoricalNote"/>
    <w:rsid w:val="006749F4"/>
    <w:rPr>
      <w:kern w:val="2"/>
      <w:sz w:val="18"/>
    </w:rPr>
  </w:style>
  <w:style w:type="character" w:customStyle="1" w:styleId="AuthorityNoteChar">
    <w:name w:val="Authority Note Char"/>
    <w:link w:val="AuthorityNote"/>
    <w:locked/>
    <w:rsid w:val="006749F4"/>
    <w:rPr>
      <w:kern w:val="2"/>
      <w:sz w:val="18"/>
    </w:rPr>
  </w:style>
  <w:style w:type="character" w:customStyle="1" w:styleId="ChapterChar">
    <w:name w:val="Chapter Char"/>
    <w:link w:val="Chapter"/>
    <w:rsid w:val="006749F4"/>
    <w:rPr>
      <w:b/>
      <w:kern w:val="2"/>
      <w:sz w:val="28"/>
    </w:rPr>
  </w:style>
  <w:style w:type="paragraph" w:styleId="Header">
    <w:name w:val="header"/>
    <w:basedOn w:val="Normal"/>
    <w:link w:val="HeaderChar"/>
    <w:uiPriority w:val="99"/>
    <w:rsid w:val="006749F4"/>
    <w:pPr>
      <w:tabs>
        <w:tab w:val="center" w:pos="4680"/>
        <w:tab w:val="right" w:pos="9360"/>
      </w:tabs>
    </w:pPr>
  </w:style>
  <w:style w:type="character" w:customStyle="1" w:styleId="HeaderChar">
    <w:name w:val="Header Char"/>
    <w:basedOn w:val="DefaultParagraphFont"/>
    <w:link w:val="Header"/>
    <w:uiPriority w:val="99"/>
    <w:rsid w:val="006749F4"/>
    <w:rPr>
      <w:sz w:val="24"/>
      <w:szCs w:val="24"/>
    </w:rPr>
  </w:style>
  <w:style w:type="paragraph" w:styleId="Footer">
    <w:name w:val="footer"/>
    <w:basedOn w:val="Normal"/>
    <w:link w:val="FooterChar"/>
    <w:rsid w:val="006749F4"/>
    <w:pPr>
      <w:tabs>
        <w:tab w:val="center" w:pos="4680"/>
        <w:tab w:val="right" w:pos="9360"/>
      </w:tabs>
    </w:pPr>
  </w:style>
  <w:style w:type="character" w:customStyle="1" w:styleId="FooterChar">
    <w:name w:val="Footer Char"/>
    <w:basedOn w:val="DefaultParagraphFont"/>
    <w:link w:val="Footer"/>
    <w:rsid w:val="006749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1D8D-63CC-4EA2-BB42-AE49A069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2014-09-09T13:02:00Z</cp:lastPrinted>
  <dcterms:created xsi:type="dcterms:W3CDTF">2016-04-07T14:11:00Z</dcterms:created>
  <dcterms:modified xsi:type="dcterms:W3CDTF">2016-04-07T14:11:00Z</dcterms:modified>
</cp:coreProperties>
</file>