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CC" w:rsidRPr="000576CC" w:rsidRDefault="000576CC" w:rsidP="000576CC">
      <w:pPr>
        <w:pStyle w:val="Title"/>
        <w:jc w:val="center"/>
        <w:rPr>
          <w:rFonts w:ascii="Times New Roman" w:hAnsi="Times New Roman" w:cs="Times New Roman"/>
          <w:sz w:val="24"/>
          <w:szCs w:val="24"/>
        </w:rPr>
      </w:pPr>
      <w:r w:rsidRPr="000576CC">
        <w:rPr>
          <w:rFonts w:ascii="Times New Roman" w:hAnsi="Times New Roman" w:cs="Times New Roman"/>
          <w:sz w:val="24"/>
          <w:szCs w:val="24"/>
        </w:rPr>
        <w:t>NOTICE OF INTENT</w:t>
      </w:r>
    </w:p>
    <w:p w:rsidR="000576CC" w:rsidRDefault="000576CC" w:rsidP="000576CC">
      <w:pPr>
        <w:jc w:val="center"/>
      </w:pPr>
    </w:p>
    <w:p w:rsidR="000576CC" w:rsidRDefault="000576CC" w:rsidP="000576CC">
      <w:pPr>
        <w:jc w:val="center"/>
      </w:pPr>
      <w:r>
        <w:t>Department of Environmental Quality</w:t>
      </w:r>
    </w:p>
    <w:p w:rsidR="000576CC" w:rsidRDefault="000576CC" w:rsidP="000576CC">
      <w:pPr>
        <w:jc w:val="center"/>
      </w:pPr>
      <w:r>
        <w:t>Office of the Secretary</w:t>
      </w:r>
    </w:p>
    <w:p w:rsidR="000576CC" w:rsidRDefault="000576CC" w:rsidP="000576CC">
      <w:pPr>
        <w:jc w:val="center"/>
      </w:pPr>
      <w:r>
        <w:t>Legal Division</w:t>
      </w:r>
    </w:p>
    <w:p w:rsidR="000576CC" w:rsidRDefault="000576CC" w:rsidP="000576CC">
      <w:pPr>
        <w:jc w:val="center"/>
      </w:pPr>
    </w:p>
    <w:p w:rsidR="000576CC" w:rsidRDefault="000576CC" w:rsidP="000576CC">
      <w:pPr>
        <w:jc w:val="center"/>
      </w:pPr>
      <w:r w:rsidRPr="00E66C29">
        <w:rPr>
          <w:noProof/>
        </w:rPr>
        <w:t>Regulatory Permit for Storage Vessels</w:t>
      </w:r>
    </w:p>
    <w:p w:rsidR="000576CC" w:rsidRDefault="000576CC" w:rsidP="000576CC">
      <w:pPr>
        <w:jc w:val="center"/>
      </w:pPr>
      <w:r>
        <w:t>(</w:t>
      </w:r>
      <w:r w:rsidRPr="00E66C29">
        <w:rPr>
          <w:noProof/>
        </w:rPr>
        <w:t>LAC 33:III.321</w:t>
      </w:r>
      <w:r>
        <w:t>) (</w:t>
      </w:r>
      <w:r w:rsidRPr="00E66C29">
        <w:rPr>
          <w:noProof/>
        </w:rPr>
        <w:t>AQ348</w:t>
      </w:r>
      <w:r>
        <w:t>)</w:t>
      </w:r>
    </w:p>
    <w:p w:rsidR="000576CC" w:rsidRDefault="000576CC" w:rsidP="000576CC">
      <w:pPr>
        <w:jc w:val="center"/>
      </w:pPr>
    </w:p>
    <w:p w:rsidR="000576CC" w:rsidRDefault="000576CC" w:rsidP="000576CC">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E66C29">
        <w:rPr>
          <w:noProof/>
        </w:rPr>
        <w:t>Air</w:t>
      </w:r>
      <w:r>
        <w:t xml:space="preserve"> regulations, </w:t>
      </w:r>
      <w:r w:rsidRPr="00E66C29">
        <w:rPr>
          <w:noProof/>
        </w:rPr>
        <w:t>LAC 33:III.321</w:t>
      </w:r>
      <w:r>
        <w:t xml:space="preserve"> (</w:t>
      </w:r>
      <w:r w:rsidRPr="00E66C29">
        <w:rPr>
          <w:noProof/>
        </w:rPr>
        <w:t>AQ348</w:t>
      </w:r>
      <w:r>
        <w:t>).</w:t>
      </w:r>
    </w:p>
    <w:p w:rsidR="000576CC" w:rsidRDefault="000576CC" w:rsidP="000576CC"/>
    <w:p w:rsidR="000576CC" w:rsidRPr="00E66C29" w:rsidRDefault="000576CC" w:rsidP="000576CC">
      <w:pPr>
        <w:rPr>
          <w:noProof/>
        </w:rPr>
      </w:pPr>
      <w:r>
        <w:tab/>
      </w:r>
      <w:r w:rsidRPr="00E66C29">
        <w:rPr>
          <w:noProof/>
        </w:rPr>
        <w:t xml:space="preserve">This rule will establish a regulatory permit for storage vessels, which can be used to authorize air emissions resulting from the storage of volatile organic liquids in tanks, reservoirs, containers, etc.  Authorization to construct and use a storage vessel will become effective only upon notification by the department that the application required by the regulatory permit has been determined complete.R.S. 30:2054(B)(9)(a) allows LDEQ to develop regulatory permits for certain sources of air emissions provided the conditions in R.S. 30:2054(B)(9)(b) are satisfied.  A regulatory permit is a permit that is incorporated into the regulations in the form of a rule.  </w:t>
      </w:r>
    </w:p>
    <w:p w:rsidR="000576CC" w:rsidRPr="00E66C29" w:rsidRDefault="000576CC" w:rsidP="000576CC">
      <w:pPr>
        <w:rPr>
          <w:noProof/>
        </w:rPr>
      </w:pPr>
    </w:p>
    <w:p w:rsidR="000576CC" w:rsidRDefault="000576CC" w:rsidP="000576CC">
      <w:r w:rsidRPr="00E66C29">
        <w:rPr>
          <w:noProof/>
        </w:rPr>
        <w:t>Pursuant to R.S. 30:2054(B)(9)(b)(viii), all regulatory permits shall be promulgated in accordance with the procedures provided in R.S. 30:2019-Promulgation of rules and regulations (i.e., the Administrative Procedure Act, R.S. 49:950 et seq.).</w:t>
      </w:r>
      <w:r>
        <w:t xml:space="preserve">  </w:t>
      </w:r>
      <w:r w:rsidRPr="00E66C29">
        <w:rPr>
          <w:noProof/>
        </w:rPr>
        <w:t>The basis and rationale for this rule are to establish a regulatory permit for storage vessels.</w:t>
      </w:r>
      <w:r>
        <w:t xml:space="preserve">  This Rule meets an exception listed in R.S. 30:2019(D</w:t>
      </w:r>
      <w:proofErr w:type="gramStart"/>
      <w:r>
        <w:t>)(</w:t>
      </w:r>
      <w:proofErr w:type="gramEnd"/>
      <w:r>
        <w:t xml:space="preserve">2) and R.S. 49:953(G)(3); therefore, no report regarding environmental/health benefits and social/economic costs is required. </w:t>
      </w:r>
    </w:p>
    <w:p w:rsidR="000576CC" w:rsidRDefault="000576CC" w:rsidP="000576CC"/>
    <w:p w:rsidR="000576CC" w:rsidRDefault="000576CC" w:rsidP="000576CC">
      <w:pPr>
        <w:jc w:val="center"/>
      </w:pPr>
      <w:r>
        <w:rPr>
          <w:b/>
        </w:rPr>
        <w:t>Family Impact Statement</w:t>
      </w:r>
    </w:p>
    <w:p w:rsidR="000576CC" w:rsidRDefault="000576CC" w:rsidP="000576CC">
      <w:pPr>
        <w:ind w:firstLine="720"/>
      </w:pPr>
      <w:r>
        <w:t xml:space="preserve">This Rule has no known impact on family formation, stability, and autonomy as described in R.S. 49:972. </w:t>
      </w:r>
    </w:p>
    <w:p w:rsidR="000576CC" w:rsidRDefault="000576CC" w:rsidP="000576CC">
      <w:pPr>
        <w:ind w:firstLine="720"/>
        <w:jc w:val="center"/>
      </w:pPr>
      <w:r>
        <w:rPr>
          <w:b/>
        </w:rPr>
        <w:t>Poverty Impact Statement</w:t>
      </w:r>
    </w:p>
    <w:p w:rsidR="000576CC" w:rsidRDefault="000576CC" w:rsidP="000576CC">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0576CC" w:rsidRDefault="000576CC" w:rsidP="000576CC">
      <w:pPr>
        <w:ind w:firstLine="720"/>
        <w:rPr>
          <w:color w:val="000000"/>
        </w:rPr>
      </w:pPr>
    </w:p>
    <w:p w:rsidR="000576CC" w:rsidRDefault="000576CC" w:rsidP="000576CC">
      <w:pPr>
        <w:ind w:firstLine="720"/>
        <w:jc w:val="center"/>
        <w:rPr>
          <w:color w:val="000000"/>
        </w:rPr>
      </w:pPr>
      <w:r w:rsidRPr="00217563">
        <w:rPr>
          <w:b/>
          <w:color w:val="000000"/>
        </w:rPr>
        <w:t>Provider Impact Statement</w:t>
      </w:r>
    </w:p>
    <w:p w:rsidR="000576CC" w:rsidRPr="00E36F02" w:rsidRDefault="000576CC" w:rsidP="000576CC">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0576CC" w:rsidRDefault="000576CC" w:rsidP="000576CC"/>
    <w:p w:rsidR="000576CC" w:rsidRPr="00217563" w:rsidRDefault="000576CC" w:rsidP="000576CC">
      <w:pPr>
        <w:jc w:val="center"/>
        <w:rPr>
          <w:b/>
        </w:rPr>
      </w:pPr>
      <w:r w:rsidRPr="00217563">
        <w:rPr>
          <w:b/>
        </w:rPr>
        <w:t>Public Comments</w:t>
      </w:r>
    </w:p>
    <w:p w:rsidR="000576CC" w:rsidRPr="000576CC" w:rsidRDefault="000576CC" w:rsidP="000576CC">
      <w:r>
        <w:tab/>
        <w:t xml:space="preserve">All interested persons are invited to submit written comments on the proposed regulation. Persons commenting should reference this proposed regulation by </w:t>
      </w:r>
      <w:r w:rsidRPr="00E66C29">
        <w:rPr>
          <w:noProof/>
        </w:rPr>
        <w:t>AQ348</w:t>
      </w:r>
      <w:r>
        <w:t xml:space="preserve">.  Such comments must be received no later than </w:t>
      </w:r>
      <w:r>
        <w:rPr>
          <w:noProof/>
        </w:rPr>
        <w:t>August 2, 2017</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E66C29">
        <w:rPr>
          <w:noProof/>
        </w:rPr>
        <w:t>AQ348</w:t>
      </w:r>
      <w:r>
        <w:t xml:space="preserve">. These </w:t>
      </w:r>
      <w:r>
        <w:lastRenderedPageBreak/>
        <w:t xml:space="preserve">proposed regulations are available on the Internet at </w:t>
      </w:r>
      <w:hyperlink r:id="rId9" w:history="1">
        <w:r w:rsidRPr="000576CC">
          <w:rPr>
            <w:rStyle w:val="Hyperlink"/>
            <w:rFonts w:ascii="Times New Roman" w:hAnsi="Times New Roman" w:cs="Times New Roman"/>
          </w:rPr>
          <w:t>www.deq.louisiana.gov/portal/tabid/1669/default.aspx</w:t>
        </w:r>
      </w:hyperlink>
      <w:r w:rsidRPr="000576CC">
        <w:t xml:space="preserve">. </w:t>
      </w:r>
    </w:p>
    <w:p w:rsidR="000576CC" w:rsidRPr="000576CC" w:rsidRDefault="000576CC" w:rsidP="000576CC"/>
    <w:p w:rsidR="000576CC" w:rsidRDefault="000576CC" w:rsidP="000576CC">
      <w:pPr>
        <w:jc w:val="center"/>
      </w:pPr>
      <w:r w:rsidRPr="00217563">
        <w:rPr>
          <w:b/>
        </w:rPr>
        <w:t>Public Hearing</w:t>
      </w:r>
    </w:p>
    <w:p w:rsidR="000576CC" w:rsidRDefault="000576CC" w:rsidP="000576CC">
      <w:pPr>
        <w:ind w:firstLine="720"/>
      </w:pPr>
      <w:r>
        <w:t xml:space="preserve">A public hearing will be held on </w:t>
      </w:r>
      <w:r>
        <w:rPr>
          <w:noProof/>
        </w:rPr>
        <w:t>July 26, 2017</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Interested persons are invited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rsidR="000576CC" w:rsidRDefault="000576CC" w:rsidP="000576CC"/>
    <w:p w:rsidR="000576CC" w:rsidRDefault="000576CC" w:rsidP="000576CC">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201 Evans Road, Bldg. 4, Suite 420, New Orleans, LA  70123.</w:t>
      </w:r>
    </w:p>
    <w:p w:rsidR="000576CC" w:rsidRDefault="000576CC" w:rsidP="000576CC"/>
    <w:p w:rsidR="000576CC" w:rsidRDefault="000576CC" w:rsidP="000576CC">
      <w:r>
        <w:tab/>
      </w:r>
      <w:r>
        <w:tab/>
      </w:r>
      <w:r>
        <w:tab/>
      </w:r>
      <w:r>
        <w:tab/>
      </w:r>
      <w:r>
        <w:tab/>
      </w:r>
      <w:r>
        <w:tab/>
        <w:t>Herman Robinson</w:t>
      </w:r>
    </w:p>
    <w:p w:rsidR="000576CC" w:rsidRDefault="000576CC" w:rsidP="000576CC">
      <w:pPr>
        <w:sectPr w:rsidR="000576CC" w:rsidSect="000576CC">
          <w:headerReference w:type="default" r:id="rId10"/>
          <w:type w:val="continuous"/>
          <w:pgSz w:w="12240" w:h="15840" w:code="1"/>
          <w:pgMar w:top="1008" w:right="1440" w:bottom="1008" w:left="1440" w:header="720" w:footer="720" w:gutter="0"/>
          <w:pgNumType w:start="1"/>
          <w:cols w:space="720"/>
        </w:sectPr>
      </w:pPr>
      <w:r>
        <w:tab/>
      </w:r>
      <w:r>
        <w:tab/>
      </w:r>
      <w:r>
        <w:tab/>
      </w:r>
      <w:r>
        <w:tab/>
      </w:r>
      <w:r>
        <w:tab/>
      </w:r>
      <w:r>
        <w:tab/>
        <w:t>General Counsel</w:t>
      </w:r>
    </w:p>
    <w:p w:rsidR="000576CC" w:rsidRDefault="000576CC" w:rsidP="000576CC"/>
    <w:p w:rsidR="000576CC" w:rsidRDefault="000576CC">
      <w:pPr>
        <w:rPr>
          <w:b/>
          <w:noProof/>
          <w:color w:val="000000"/>
          <w:sz w:val="28"/>
          <w:szCs w:val="28"/>
        </w:rPr>
      </w:pPr>
      <w:r>
        <w:rPr>
          <w:color w:val="000000"/>
          <w:szCs w:val="28"/>
        </w:rPr>
        <w:br w:type="page"/>
      </w:r>
    </w:p>
    <w:p w:rsidR="000576CC" w:rsidRPr="00066EAA" w:rsidRDefault="000576CC" w:rsidP="000576CC">
      <w:pPr>
        <w:pStyle w:val="TOCPart"/>
        <w:spacing w:before="0" w:after="0"/>
        <w:rPr>
          <w:color w:val="000000"/>
          <w:szCs w:val="28"/>
        </w:rPr>
      </w:pPr>
      <w:r w:rsidRPr="00066EAA">
        <w:rPr>
          <w:color w:val="000000"/>
          <w:szCs w:val="28"/>
        </w:rPr>
        <w:lastRenderedPageBreak/>
        <w:t>Title 33</w:t>
      </w:r>
    </w:p>
    <w:p w:rsidR="000576CC" w:rsidRPr="00066EAA" w:rsidRDefault="000576CC" w:rsidP="000576CC">
      <w:pPr>
        <w:pStyle w:val="Part"/>
        <w:spacing w:after="0"/>
        <w:rPr>
          <w:color w:val="000000"/>
          <w:szCs w:val="28"/>
        </w:rPr>
      </w:pPr>
      <w:r w:rsidRPr="00066EAA">
        <w:rPr>
          <w:color w:val="000000"/>
          <w:szCs w:val="28"/>
        </w:rPr>
        <w:t>ENVIRONMENTAL QUALITY</w:t>
      </w:r>
    </w:p>
    <w:p w:rsidR="000576CC" w:rsidRPr="00066EAA" w:rsidRDefault="000576CC" w:rsidP="000576CC">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8"/>
          <w:szCs w:val="28"/>
        </w:rPr>
      </w:pPr>
      <w:r>
        <w:rPr>
          <w:color w:val="000000"/>
          <w:sz w:val="28"/>
          <w:szCs w:val="28"/>
        </w:rPr>
        <w:t xml:space="preserve">Part III.  </w:t>
      </w:r>
      <w:r w:rsidRPr="00066EAA">
        <w:rPr>
          <w:color w:val="000000"/>
          <w:sz w:val="28"/>
          <w:szCs w:val="28"/>
        </w:rPr>
        <w:t>Air</w:t>
      </w:r>
    </w:p>
    <w:p w:rsidR="000576CC" w:rsidRPr="00AE6D14" w:rsidRDefault="000576CC" w:rsidP="000576CC">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360" w:right="0"/>
        <w:jc w:val="left"/>
        <w:outlineLvl w:val="9"/>
        <w:rPr>
          <w:b w:val="0"/>
          <w:sz w:val="24"/>
          <w:szCs w:val="24"/>
        </w:rPr>
      </w:pPr>
      <w:bookmarkStart w:id="0" w:name="TOC_Chap2"/>
    </w:p>
    <w:p w:rsidR="000576CC" w:rsidRPr="00AE6D14" w:rsidRDefault="000576CC" w:rsidP="000576CC">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line="480" w:lineRule="auto"/>
        <w:ind w:left="0" w:right="0"/>
        <w:jc w:val="left"/>
        <w:outlineLvl w:val="9"/>
        <w:rPr>
          <w:sz w:val="24"/>
          <w:szCs w:val="24"/>
        </w:rPr>
      </w:pPr>
      <w:proofErr w:type="gramStart"/>
      <w:r w:rsidRPr="00AE6D14">
        <w:rPr>
          <w:sz w:val="24"/>
          <w:szCs w:val="24"/>
        </w:rPr>
        <w:t>Chapter 3.</w:t>
      </w:r>
      <w:bookmarkEnd w:id="0"/>
      <w:proofErr w:type="gramEnd"/>
      <w:r>
        <w:rPr>
          <w:sz w:val="24"/>
          <w:szCs w:val="24"/>
        </w:rPr>
        <w:tab/>
      </w:r>
      <w:r w:rsidRPr="00AE6D14">
        <w:rPr>
          <w:sz w:val="24"/>
          <w:szCs w:val="24"/>
        </w:rPr>
        <w:t>Regulatory Permits</w:t>
      </w:r>
    </w:p>
    <w:p w:rsidR="000576CC" w:rsidRPr="00E015F4" w:rsidRDefault="000576CC" w:rsidP="000576CC">
      <w:pPr>
        <w:pStyle w:val="Section"/>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outlineLvl w:val="9"/>
        <w:rPr>
          <w:sz w:val="24"/>
          <w:szCs w:val="24"/>
          <w:u w:val="single"/>
        </w:rPr>
      </w:pPr>
      <w:r w:rsidRPr="00E015F4">
        <w:rPr>
          <w:sz w:val="24"/>
          <w:szCs w:val="24"/>
          <w:u w:val="single"/>
        </w:rPr>
        <w:t>§321</w:t>
      </w:r>
      <w:r>
        <w:rPr>
          <w:sz w:val="24"/>
          <w:szCs w:val="24"/>
          <w:u w:val="single"/>
        </w:rPr>
        <w:t>.</w:t>
      </w:r>
      <w:r>
        <w:rPr>
          <w:sz w:val="24"/>
          <w:szCs w:val="24"/>
          <w:u w:val="single"/>
        </w:rPr>
        <w:tab/>
      </w:r>
      <w:r w:rsidRPr="00E015F4">
        <w:rPr>
          <w:sz w:val="24"/>
          <w:szCs w:val="24"/>
          <w:u w:val="single"/>
        </w:rPr>
        <w:t>Regulatory Permit for Storage Vessels</w:t>
      </w:r>
    </w:p>
    <w:p w:rsidR="000576CC" w:rsidRPr="00E015F4" w:rsidRDefault="000576CC" w:rsidP="000576CC">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sz w:val="24"/>
          <w:szCs w:val="24"/>
        </w:rPr>
        <w:tab/>
      </w:r>
      <w:r w:rsidRPr="00E015F4">
        <w:rPr>
          <w:sz w:val="24"/>
          <w:szCs w:val="24"/>
          <w:u w:val="single"/>
        </w:rPr>
        <w:t>A.</w:t>
      </w:r>
      <w:r>
        <w:rPr>
          <w:sz w:val="24"/>
          <w:szCs w:val="24"/>
          <w:u w:val="single"/>
        </w:rPr>
        <w:tab/>
      </w:r>
      <w:r w:rsidRPr="00E015F4">
        <w:rPr>
          <w:sz w:val="24"/>
          <w:szCs w:val="24"/>
          <w:u w:val="single"/>
        </w:rPr>
        <w:t>Applicability</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267FE6">
        <w:rPr>
          <w:sz w:val="24"/>
          <w:szCs w:val="24"/>
        </w:rPr>
        <w:tab/>
      </w:r>
      <w:r w:rsidRPr="00267FE6">
        <w:rPr>
          <w:sz w:val="24"/>
          <w:szCs w:val="24"/>
        </w:rPr>
        <w:tab/>
      </w:r>
      <w:r w:rsidRPr="00E015F4">
        <w:rPr>
          <w:sz w:val="24"/>
          <w:szCs w:val="24"/>
          <w:u w:val="single"/>
        </w:rPr>
        <w:t>1.</w:t>
      </w:r>
      <w:r>
        <w:rPr>
          <w:sz w:val="24"/>
          <w:szCs w:val="24"/>
          <w:u w:val="single"/>
        </w:rPr>
        <w:tab/>
      </w:r>
      <w:r w:rsidRPr="00E015F4">
        <w:rPr>
          <w:sz w:val="24"/>
          <w:szCs w:val="24"/>
          <w:u w:val="single"/>
        </w:rPr>
        <w:t>This regulatory permit authorizes the construction and use of storage vessels, subject to the requirements established herein, upon notification by the department that the application (i.e., notification form) submitted in accordance with Subsection G of this Section has been determined to be complete.</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267FE6">
        <w:rPr>
          <w:sz w:val="24"/>
          <w:szCs w:val="24"/>
        </w:rPr>
        <w:tab/>
      </w:r>
      <w:r w:rsidRPr="00267FE6">
        <w:rPr>
          <w:sz w:val="24"/>
          <w:szCs w:val="24"/>
        </w:rPr>
        <w:tab/>
      </w:r>
      <w:r w:rsidRPr="00E015F4">
        <w:rPr>
          <w:sz w:val="24"/>
          <w:szCs w:val="24"/>
          <w:u w:val="single"/>
        </w:rPr>
        <w:t>2.</w:t>
      </w:r>
      <w:r w:rsidRPr="00E015F4">
        <w:rPr>
          <w:sz w:val="24"/>
          <w:szCs w:val="24"/>
          <w:u w:val="single"/>
        </w:rPr>
        <w:tab/>
        <w:t>This regulatory permit shall not apply to storage vessels:</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sz w:val="24"/>
          <w:szCs w:val="24"/>
        </w:rPr>
        <w:tab/>
      </w:r>
      <w:r w:rsidRPr="00267FE6">
        <w:rPr>
          <w:sz w:val="24"/>
          <w:szCs w:val="24"/>
        </w:rPr>
        <w:tab/>
      </w:r>
      <w:r w:rsidRPr="00267FE6">
        <w:rPr>
          <w:sz w:val="24"/>
          <w:szCs w:val="24"/>
        </w:rPr>
        <w:tab/>
      </w:r>
      <w:proofErr w:type="gramStart"/>
      <w:r w:rsidRPr="00E015F4">
        <w:rPr>
          <w:sz w:val="24"/>
          <w:szCs w:val="24"/>
          <w:u w:val="single"/>
        </w:rPr>
        <w:t>a</w:t>
      </w:r>
      <w:proofErr w:type="gramEnd"/>
      <w:r w:rsidRPr="00E015F4">
        <w:rPr>
          <w:sz w:val="24"/>
          <w:szCs w:val="24"/>
          <w:u w:val="single"/>
        </w:rPr>
        <w:t>.</w:t>
      </w:r>
      <w:r w:rsidRPr="00E015F4">
        <w:rPr>
          <w:sz w:val="24"/>
          <w:szCs w:val="24"/>
          <w:u w:val="single"/>
        </w:rPr>
        <w:tab/>
        <w:t>deemed insignificant in accordance with item A.2, A.3, A.8, A.10, B.31, B.39, or B.44 of the insignificant activities list in LAC 33:III.501.B.5;</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sz w:val="24"/>
          <w:szCs w:val="24"/>
        </w:rPr>
        <w:tab/>
      </w:r>
      <w:r w:rsidRPr="00267FE6">
        <w:rPr>
          <w:sz w:val="24"/>
          <w:szCs w:val="24"/>
        </w:rPr>
        <w:tab/>
      </w:r>
      <w:r w:rsidRPr="00267FE6">
        <w:rPr>
          <w:sz w:val="24"/>
          <w:szCs w:val="24"/>
        </w:rPr>
        <w:tab/>
      </w:r>
      <w:proofErr w:type="gramStart"/>
      <w:r w:rsidRPr="00E015F4">
        <w:rPr>
          <w:sz w:val="24"/>
          <w:szCs w:val="24"/>
          <w:u w:val="single"/>
        </w:rPr>
        <w:t>b</w:t>
      </w:r>
      <w:proofErr w:type="gramEnd"/>
      <w:r w:rsidRPr="00E015F4">
        <w:rPr>
          <w:sz w:val="24"/>
          <w:szCs w:val="24"/>
          <w:u w:val="single"/>
        </w:rPr>
        <w:t>.</w:t>
      </w:r>
      <w:r w:rsidRPr="00E015F4">
        <w:rPr>
          <w:sz w:val="24"/>
          <w:szCs w:val="24"/>
          <w:u w:val="single"/>
        </w:rPr>
        <w:tab/>
        <w:t xml:space="preserve">that utilize a closed vent system and control device to comply with an applicable requirement, except that storage vessels employing carbon </w:t>
      </w:r>
      <w:proofErr w:type="spellStart"/>
      <w:r w:rsidRPr="00E015F4">
        <w:rPr>
          <w:sz w:val="24"/>
          <w:szCs w:val="24"/>
          <w:u w:val="single"/>
        </w:rPr>
        <w:t>adsorbers</w:t>
      </w:r>
      <w:proofErr w:type="spellEnd"/>
      <w:r w:rsidRPr="00E015F4">
        <w:rPr>
          <w:sz w:val="24"/>
          <w:szCs w:val="24"/>
          <w:u w:val="single"/>
        </w:rPr>
        <w:t xml:space="preserve"> solely to mitigate odors shall be allowed;</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sz w:val="24"/>
          <w:szCs w:val="24"/>
        </w:rPr>
        <w:tab/>
      </w:r>
      <w:r w:rsidRPr="00267FE6">
        <w:rPr>
          <w:sz w:val="24"/>
          <w:szCs w:val="24"/>
        </w:rPr>
        <w:tab/>
      </w:r>
      <w:r w:rsidRPr="00267FE6">
        <w:rPr>
          <w:sz w:val="24"/>
          <w:szCs w:val="24"/>
        </w:rPr>
        <w:tab/>
      </w:r>
      <w:r w:rsidRPr="00E015F4">
        <w:rPr>
          <w:sz w:val="24"/>
          <w:szCs w:val="24"/>
          <w:u w:val="single"/>
        </w:rPr>
        <w:t>c.</w:t>
      </w:r>
      <w:r w:rsidRPr="00E015F4">
        <w:rPr>
          <w:sz w:val="24"/>
          <w:szCs w:val="24"/>
          <w:u w:val="single"/>
        </w:rPr>
        <w:tab/>
        <w:t>capable of maintaining working pressures sufficient at all times under normal operating conditions to prevent vapor or gas loss to the atmosphere; or</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sz w:val="24"/>
          <w:szCs w:val="24"/>
        </w:rPr>
        <w:tab/>
      </w:r>
      <w:r w:rsidRPr="00267FE6">
        <w:rPr>
          <w:sz w:val="24"/>
          <w:szCs w:val="24"/>
        </w:rPr>
        <w:tab/>
      </w:r>
      <w:r w:rsidRPr="00267FE6">
        <w:rPr>
          <w:sz w:val="24"/>
          <w:szCs w:val="24"/>
        </w:rPr>
        <w:tab/>
      </w:r>
      <w:proofErr w:type="gramStart"/>
      <w:r w:rsidRPr="00E015F4">
        <w:rPr>
          <w:sz w:val="24"/>
          <w:szCs w:val="24"/>
          <w:u w:val="single"/>
        </w:rPr>
        <w:t>d</w:t>
      </w:r>
      <w:proofErr w:type="gramEnd"/>
      <w:r w:rsidRPr="00E015F4">
        <w:rPr>
          <w:sz w:val="24"/>
          <w:szCs w:val="24"/>
          <w:u w:val="single"/>
        </w:rPr>
        <w:t>.</w:t>
      </w:r>
      <w:r w:rsidRPr="00E015F4">
        <w:rPr>
          <w:sz w:val="24"/>
          <w:szCs w:val="24"/>
          <w:u w:val="single"/>
        </w:rPr>
        <w:tab/>
        <w:t>subject to federal regulations not identified in Subsection D of this Section.</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267FE6">
        <w:rPr>
          <w:sz w:val="24"/>
          <w:szCs w:val="24"/>
        </w:rPr>
        <w:tab/>
      </w:r>
      <w:r w:rsidRPr="00267FE6">
        <w:rPr>
          <w:sz w:val="24"/>
          <w:szCs w:val="24"/>
        </w:rPr>
        <w:tab/>
      </w:r>
      <w:r w:rsidRPr="00E015F4">
        <w:rPr>
          <w:sz w:val="24"/>
          <w:szCs w:val="24"/>
          <w:u w:val="single"/>
        </w:rPr>
        <w:t>3.</w:t>
      </w:r>
      <w:r w:rsidRPr="00E015F4">
        <w:rPr>
          <w:sz w:val="24"/>
          <w:szCs w:val="24"/>
          <w:u w:val="single"/>
        </w:rPr>
        <w:tab/>
        <w:t>This regulatory permit shall not be used to authorize a storage vessel that, when considering potential emissions from it and potential emissions from the remainder of the stationary source, would result in the creation of a major source of criteria pollutants, hazardous air pollutants, or toxic air pollutants.</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sz w:val="24"/>
          <w:szCs w:val="24"/>
        </w:rPr>
        <w:tab/>
      </w:r>
      <w:r>
        <w:rPr>
          <w:sz w:val="24"/>
          <w:szCs w:val="24"/>
          <w:u w:val="single"/>
        </w:rPr>
        <w:t>B.</w:t>
      </w:r>
      <w:r>
        <w:rPr>
          <w:sz w:val="24"/>
          <w:szCs w:val="24"/>
          <w:u w:val="single"/>
        </w:rPr>
        <w:tab/>
      </w:r>
      <w:r w:rsidRPr="00E015F4">
        <w:rPr>
          <w:sz w:val="24"/>
          <w:szCs w:val="24"/>
          <w:u w:val="single"/>
        </w:rPr>
        <w:t>Definitions</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i/>
          <w:iCs/>
          <w:sz w:val="24"/>
          <w:szCs w:val="24"/>
        </w:rPr>
        <w:tab/>
      </w:r>
      <w:r w:rsidRPr="00267FE6">
        <w:rPr>
          <w:i/>
          <w:iCs/>
          <w:sz w:val="24"/>
          <w:szCs w:val="24"/>
        </w:rPr>
        <w:tab/>
      </w:r>
      <w:r w:rsidRPr="00E015F4">
        <w:rPr>
          <w:i/>
          <w:iCs/>
          <w:sz w:val="24"/>
          <w:szCs w:val="24"/>
          <w:u w:val="single"/>
        </w:rPr>
        <w:t>Storage Vessel</w:t>
      </w:r>
      <w:r w:rsidRPr="00E015F4">
        <w:rPr>
          <w:i/>
          <w:sz w:val="24"/>
          <w:szCs w:val="24"/>
          <w:u w:val="single"/>
        </w:rPr>
        <w:t>—</w:t>
      </w:r>
      <w:r w:rsidRPr="00E015F4">
        <w:rPr>
          <w:sz w:val="24"/>
          <w:szCs w:val="24"/>
          <w:u w:val="single"/>
        </w:rPr>
        <w:t>any tank, reservoir, or container used for the storage of volatile organic compounds. Storage vessels do not include:</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sz w:val="24"/>
          <w:szCs w:val="24"/>
        </w:rPr>
        <w:tab/>
      </w:r>
      <w:r w:rsidRPr="00267FE6">
        <w:rPr>
          <w:sz w:val="24"/>
          <w:szCs w:val="24"/>
        </w:rPr>
        <w:tab/>
      </w:r>
      <w:r w:rsidRPr="00267FE6">
        <w:rPr>
          <w:sz w:val="24"/>
          <w:szCs w:val="24"/>
        </w:rPr>
        <w:tab/>
      </w:r>
      <w:proofErr w:type="gramStart"/>
      <w:r>
        <w:rPr>
          <w:sz w:val="24"/>
          <w:szCs w:val="24"/>
          <w:u w:val="single"/>
        </w:rPr>
        <w:t>a</w:t>
      </w:r>
      <w:proofErr w:type="gramEnd"/>
      <w:r>
        <w:rPr>
          <w:sz w:val="24"/>
          <w:szCs w:val="24"/>
          <w:u w:val="single"/>
        </w:rPr>
        <w:t>.</w:t>
      </w:r>
      <w:r>
        <w:rPr>
          <w:sz w:val="24"/>
          <w:szCs w:val="24"/>
          <w:u w:val="single"/>
        </w:rPr>
        <w:tab/>
      </w:r>
      <w:r w:rsidRPr="00E015F4">
        <w:rPr>
          <w:sz w:val="24"/>
          <w:szCs w:val="24"/>
          <w:u w:val="single"/>
        </w:rPr>
        <w:t>process tanks as defined in 40 CFR 60.111b; and</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sz w:val="24"/>
          <w:szCs w:val="24"/>
        </w:rPr>
        <w:tab/>
      </w:r>
      <w:r w:rsidRPr="00267FE6">
        <w:rPr>
          <w:sz w:val="24"/>
          <w:szCs w:val="24"/>
        </w:rPr>
        <w:tab/>
      </w:r>
      <w:r w:rsidRPr="00267FE6">
        <w:rPr>
          <w:sz w:val="24"/>
          <w:szCs w:val="24"/>
        </w:rPr>
        <w:tab/>
      </w:r>
      <w:proofErr w:type="gramStart"/>
      <w:r w:rsidRPr="00E015F4">
        <w:rPr>
          <w:sz w:val="24"/>
          <w:szCs w:val="24"/>
          <w:u w:val="single"/>
        </w:rPr>
        <w:t>b</w:t>
      </w:r>
      <w:proofErr w:type="gramEnd"/>
      <w:r w:rsidRPr="00E015F4">
        <w:rPr>
          <w:sz w:val="24"/>
          <w:szCs w:val="24"/>
          <w:u w:val="single"/>
        </w:rPr>
        <w:t>.</w:t>
      </w:r>
      <w:r w:rsidRPr="00E015F4">
        <w:rPr>
          <w:sz w:val="24"/>
          <w:szCs w:val="24"/>
          <w:u w:val="single"/>
        </w:rPr>
        <w:tab/>
        <w:t>vessels permanently attached to motor vehicles such as trucks, railcars, barges, or ships.</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267FE6">
        <w:rPr>
          <w:sz w:val="24"/>
          <w:szCs w:val="24"/>
        </w:rPr>
        <w:tab/>
      </w:r>
      <w:r w:rsidRPr="00E015F4">
        <w:rPr>
          <w:sz w:val="24"/>
          <w:szCs w:val="24"/>
          <w:u w:val="single"/>
        </w:rPr>
        <w:t>C.</w:t>
      </w:r>
      <w:r w:rsidRPr="00E015F4">
        <w:rPr>
          <w:sz w:val="24"/>
          <w:szCs w:val="24"/>
          <w:u w:val="single"/>
        </w:rPr>
        <w:tab/>
        <w:t>Emission Limitations, Monitoring, Recordkeeping, and Reporting</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267FE6">
        <w:rPr>
          <w:sz w:val="24"/>
          <w:szCs w:val="24"/>
        </w:rPr>
        <w:tab/>
      </w:r>
      <w:r w:rsidRPr="00267FE6">
        <w:rPr>
          <w:sz w:val="24"/>
          <w:szCs w:val="24"/>
        </w:rPr>
        <w:tab/>
      </w:r>
      <w:r w:rsidRPr="00E015F4">
        <w:rPr>
          <w:sz w:val="24"/>
          <w:szCs w:val="24"/>
          <w:u w:val="single"/>
        </w:rPr>
        <w:t>1.</w:t>
      </w:r>
      <w:r>
        <w:rPr>
          <w:sz w:val="24"/>
          <w:szCs w:val="24"/>
          <w:u w:val="single"/>
        </w:rPr>
        <w:tab/>
      </w:r>
      <w:r w:rsidRPr="00E015F4">
        <w:rPr>
          <w:sz w:val="24"/>
          <w:szCs w:val="24"/>
          <w:u w:val="single"/>
        </w:rPr>
        <w:t>Emission limitations for the storage vessel shall be established by the application (i.e., notification form) submitted in accordance with Subsection G of this Section.</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CC3F14">
        <w:rPr>
          <w:sz w:val="24"/>
          <w:szCs w:val="24"/>
        </w:rPr>
        <w:tab/>
      </w:r>
      <w:r w:rsidRPr="00CC3F14">
        <w:rPr>
          <w:sz w:val="24"/>
          <w:szCs w:val="24"/>
        </w:rPr>
        <w:tab/>
      </w:r>
      <w:r w:rsidRPr="00CC3F14">
        <w:rPr>
          <w:sz w:val="24"/>
          <w:szCs w:val="24"/>
        </w:rPr>
        <w:tab/>
      </w:r>
      <w:r w:rsidRPr="00E015F4">
        <w:rPr>
          <w:sz w:val="24"/>
          <w:szCs w:val="24"/>
          <w:u w:val="single"/>
        </w:rPr>
        <w:t>a.</w:t>
      </w:r>
      <w:r w:rsidRPr="00E015F4">
        <w:rPr>
          <w:sz w:val="24"/>
          <w:szCs w:val="24"/>
          <w:u w:val="single"/>
        </w:rPr>
        <w:tab/>
        <w:t>The limitations shall be enforceable by the department.</w:t>
      </w:r>
    </w:p>
    <w:p w:rsidR="000576CC" w:rsidRPr="00E015F4" w:rsidRDefault="000576CC" w:rsidP="000576CC">
      <w:pPr>
        <w:pStyle w:val="a0"/>
        <w:tabs>
          <w:tab w:val="clear" w:pos="907"/>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CC3F14">
        <w:rPr>
          <w:sz w:val="24"/>
          <w:szCs w:val="24"/>
        </w:rPr>
        <w:tab/>
      </w:r>
      <w:r w:rsidRPr="00CC3F14">
        <w:rPr>
          <w:sz w:val="24"/>
          <w:szCs w:val="24"/>
        </w:rPr>
        <w:tab/>
      </w:r>
      <w:r w:rsidRPr="00CC3F14">
        <w:rPr>
          <w:sz w:val="24"/>
          <w:szCs w:val="24"/>
        </w:rPr>
        <w:tab/>
      </w:r>
      <w:r w:rsidRPr="00E015F4">
        <w:rPr>
          <w:sz w:val="24"/>
          <w:szCs w:val="24"/>
          <w:u w:val="single"/>
        </w:rPr>
        <w:t>b.</w:t>
      </w:r>
      <w:r w:rsidRPr="00E015F4">
        <w:rPr>
          <w:sz w:val="24"/>
          <w:szCs w:val="24"/>
          <w:u w:val="single"/>
        </w:rPr>
        <w:tab/>
        <w:t>If actual emissions exceed these limitations for any reason other than as described in LAC 33:III.501.C.12, the permittee shall notify the Office of Environmental Compliance in accordance with Louisiana General Condition XI of LAC 33:III.537.A. For Part 70 sources, the reports required by Paragraph C.3 of this Section shall satisfy this requirement.</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2.</w:t>
      </w:r>
      <w:r w:rsidRPr="00E015F4">
        <w:rPr>
          <w:sz w:val="24"/>
          <w:szCs w:val="24"/>
          <w:u w:val="single"/>
        </w:rPr>
        <w:tab/>
        <w:t>The permittee shall monitor and record the throughput of the storage vessel during each calendar month. Records shall be retained as described in Louisiana General Condition X of LAC 33:III.537.A.</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3.</w:t>
      </w:r>
      <w:r w:rsidRPr="00E015F4">
        <w:rPr>
          <w:sz w:val="24"/>
          <w:szCs w:val="24"/>
          <w:u w:val="single"/>
        </w:rPr>
        <w:tab/>
        <w:t>The permittee shall address each storage vessel located at a Part 70 source in the submittals required by Part 70 General Conditions K, M, and R of LAC 33:III.535.A.  Deviations from the terms and conditions of this regulatory permit, including the standards identified in Subsection D of this Section, shall not be considered violations of the stationary source’s Part 70 permit.</w:t>
      </w:r>
    </w:p>
    <w:p w:rsidR="000576CC" w:rsidRPr="00E015F4" w:rsidRDefault="000576CC" w:rsidP="000576CC">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CC3F14">
        <w:rPr>
          <w:sz w:val="24"/>
          <w:szCs w:val="24"/>
        </w:rPr>
        <w:tab/>
      </w:r>
      <w:r w:rsidRPr="00E015F4">
        <w:rPr>
          <w:sz w:val="24"/>
          <w:szCs w:val="24"/>
          <w:u w:val="single"/>
        </w:rPr>
        <w:t>D.</w:t>
      </w:r>
      <w:r w:rsidRPr="00E015F4">
        <w:rPr>
          <w:sz w:val="24"/>
          <w:szCs w:val="24"/>
          <w:u w:val="single"/>
        </w:rPr>
        <w:tab/>
        <w:t>Storage Vessel Standards. The permittee shall comply with the provisions of the following federal and state regulations pertaining to storage vessels, as applicable:</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1.</w:t>
      </w:r>
      <w:r w:rsidRPr="00E015F4">
        <w:rPr>
          <w:sz w:val="24"/>
          <w:szCs w:val="24"/>
          <w:u w:val="single"/>
        </w:rPr>
        <w:tab/>
        <w:t xml:space="preserve">LAC 33:III.2103; </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2.</w:t>
      </w:r>
      <w:r w:rsidRPr="00E015F4">
        <w:rPr>
          <w:sz w:val="24"/>
          <w:szCs w:val="24"/>
          <w:u w:val="single"/>
        </w:rPr>
        <w:tab/>
        <w:t>40 CFR 60, subpart Kb;</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3.</w:t>
      </w:r>
      <w:r w:rsidRPr="00E015F4">
        <w:rPr>
          <w:sz w:val="24"/>
          <w:szCs w:val="24"/>
          <w:u w:val="single"/>
        </w:rPr>
        <w:tab/>
        <w:t>40 CFR 61, subpart FF; and</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4.</w:t>
      </w:r>
      <w:r w:rsidRPr="00E015F4">
        <w:rPr>
          <w:sz w:val="24"/>
          <w:szCs w:val="24"/>
          <w:u w:val="single"/>
        </w:rPr>
        <w:tab/>
        <w:t xml:space="preserve">40 CFR 63, subparts G, R, U, CC, JJJ, PPP, FFFF, HHHHH, BBBBBB, CCCCCC, VVVVVV, and HHHHHHH. </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CC3F14">
        <w:rPr>
          <w:sz w:val="24"/>
          <w:szCs w:val="24"/>
        </w:rPr>
        <w:tab/>
      </w:r>
      <w:r w:rsidRPr="00E015F4">
        <w:rPr>
          <w:sz w:val="24"/>
          <w:szCs w:val="24"/>
          <w:u w:val="single"/>
        </w:rPr>
        <w:t>E.</w:t>
      </w:r>
      <w:r w:rsidRPr="00E015F4">
        <w:rPr>
          <w:sz w:val="24"/>
          <w:szCs w:val="24"/>
          <w:u w:val="single"/>
        </w:rPr>
        <w:tab/>
        <w:t>Floating Roofs. The intent of this Subsection is to avoid having a vapor space between the floating roof and the stored liquid for extended periods.</w:t>
      </w:r>
    </w:p>
    <w:p w:rsidR="000576CC" w:rsidRPr="00E015F4" w:rsidRDefault="000576CC" w:rsidP="000576CC">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1.</w:t>
      </w:r>
      <w:r w:rsidRPr="00E015F4">
        <w:rPr>
          <w:sz w:val="24"/>
          <w:szCs w:val="24"/>
          <w:u w:val="single"/>
        </w:rPr>
        <w:tab/>
        <w:t>An internal or external floating roof shall be floating on the liquid surface at all times except:</w:t>
      </w:r>
    </w:p>
    <w:p w:rsidR="000576CC" w:rsidRPr="00E015F4" w:rsidRDefault="000576CC" w:rsidP="000576CC">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sidRPr="00CC3F14">
        <w:rPr>
          <w:sz w:val="24"/>
          <w:szCs w:val="24"/>
        </w:rPr>
        <w:tab/>
      </w:r>
      <w:r w:rsidRPr="00CC3F14">
        <w:rPr>
          <w:sz w:val="24"/>
          <w:szCs w:val="24"/>
        </w:rPr>
        <w:tab/>
      </w:r>
      <w:r w:rsidRPr="00CC3F14">
        <w:rPr>
          <w:sz w:val="24"/>
          <w:szCs w:val="24"/>
        </w:rPr>
        <w:tab/>
      </w:r>
      <w:proofErr w:type="gramStart"/>
      <w:r>
        <w:rPr>
          <w:sz w:val="24"/>
          <w:szCs w:val="24"/>
          <w:u w:val="single"/>
        </w:rPr>
        <w:t>a</w:t>
      </w:r>
      <w:proofErr w:type="gramEnd"/>
      <w:r>
        <w:rPr>
          <w:sz w:val="24"/>
          <w:szCs w:val="24"/>
          <w:u w:val="single"/>
        </w:rPr>
        <w:t>.</w:t>
      </w:r>
      <w:r w:rsidRPr="00E015F4">
        <w:rPr>
          <w:sz w:val="24"/>
          <w:szCs w:val="24"/>
          <w:u w:val="single"/>
        </w:rPr>
        <w:tab/>
        <w:t>when it must rest on the leg supports during the initial fill;</w:t>
      </w:r>
    </w:p>
    <w:p w:rsidR="000576CC" w:rsidRPr="00E015F4" w:rsidRDefault="000576CC" w:rsidP="000576CC">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sidRPr="00CC3F14">
        <w:rPr>
          <w:sz w:val="24"/>
          <w:szCs w:val="24"/>
        </w:rPr>
        <w:tab/>
      </w:r>
      <w:r w:rsidRPr="00CC3F14">
        <w:rPr>
          <w:sz w:val="24"/>
          <w:szCs w:val="24"/>
        </w:rPr>
        <w:tab/>
      </w:r>
      <w:r w:rsidRPr="00CC3F14">
        <w:rPr>
          <w:sz w:val="24"/>
          <w:szCs w:val="24"/>
        </w:rPr>
        <w:tab/>
      </w:r>
      <w:proofErr w:type="gramStart"/>
      <w:r w:rsidRPr="00E015F4">
        <w:rPr>
          <w:sz w:val="24"/>
          <w:szCs w:val="24"/>
          <w:u w:val="single"/>
        </w:rPr>
        <w:t>b</w:t>
      </w:r>
      <w:proofErr w:type="gramEnd"/>
      <w:r w:rsidRPr="00E015F4">
        <w:rPr>
          <w:sz w:val="24"/>
          <w:szCs w:val="24"/>
          <w:u w:val="single"/>
        </w:rPr>
        <w:t>.</w:t>
      </w:r>
      <w:r w:rsidRPr="00E015F4">
        <w:rPr>
          <w:sz w:val="24"/>
          <w:szCs w:val="24"/>
          <w:u w:val="single"/>
        </w:rPr>
        <w:tab/>
        <w:t>after the storage vessel has been completely emptied and degassed; or</w:t>
      </w:r>
    </w:p>
    <w:p w:rsidR="000576CC" w:rsidRPr="00E015F4" w:rsidRDefault="000576CC" w:rsidP="000576CC">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sidRPr="00CC3F14">
        <w:rPr>
          <w:sz w:val="24"/>
          <w:szCs w:val="24"/>
        </w:rPr>
        <w:tab/>
      </w:r>
      <w:r w:rsidRPr="00CC3F14">
        <w:rPr>
          <w:sz w:val="24"/>
          <w:szCs w:val="24"/>
        </w:rPr>
        <w:tab/>
      </w:r>
      <w:r w:rsidRPr="00CC3F14">
        <w:rPr>
          <w:sz w:val="24"/>
          <w:szCs w:val="24"/>
        </w:rPr>
        <w:tab/>
      </w:r>
      <w:proofErr w:type="gramStart"/>
      <w:r>
        <w:rPr>
          <w:sz w:val="24"/>
          <w:szCs w:val="24"/>
          <w:u w:val="single"/>
        </w:rPr>
        <w:t>c</w:t>
      </w:r>
      <w:proofErr w:type="gramEnd"/>
      <w:r>
        <w:rPr>
          <w:sz w:val="24"/>
          <w:szCs w:val="24"/>
          <w:u w:val="single"/>
        </w:rPr>
        <w:t>.</w:t>
      </w:r>
      <w:r w:rsidRPr="00E015F4">
        <w:rPr>
          <w:sz w:val="24"/>
          <w:szCs w:val="24"/>
          <w:u w:val="single"/>
        </w:rPr>
        <w:tab/>
        <w:t>when the storage vessel is completely emptied before being subsequently refilled.</w:t>
      </w:r>
    </w:p>
    <w:p w:rsidR="000576CC" w:rsidRPr="00E015F4" w:rsidRDefault="000576CC" w:rsidP="000576CC">
      <w:pPr>
        <w:pStyle w:val="Historical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2.</w:t>
      </w:r>
      <w:r w:rsidRPr="00E015F4">
        <w:rPr>
          <w:sz w:val="24"/>
          <w:szCs w:val="24"/>
          <w:u w:val="single"/>
        </w:rPr>
        <w:tab/>
        <w:t>When the floating roof is resting on the leg supports, the process of filling, emptying, or refilling shall be continuous and shall be accomplished as soon as practical.</w:t>
      </w:r>
    </w:p>
    <w:p w:rsidR="000576CC" w:rsidRPr="00E015F4" w:rsidRDefault="000576CC" w:rsidP="000576CC">
      <w:pPr>
        <w:pStyle w:val="1"/>
        <w:tabs>
          <w:tab w:val="clear" w:pos="979"/>
          <w:tab w:val="clear" w:pos="1152"/>
          <w:tab w:val="clear" w:pos="4500"/>
          <w:tab w:val="clear" w:pos="4680"/>
          <w:tab w:val="clear" w:pos="4860"/>
          <w:tab w:val="clear" w:pos="5040"/>
          <w:tab w:val="clear" w:pos="720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3.</w:t>
      </w:r>
      <w:r w:rsidRPr="00E015F4">
        <w:rPr>
          <w:sz w:val="24"/>
          <w:szCs w:val="24"/>
          <w:u w:val="single"/>
        </w:rPr>
        <w:tab/>
        <w:t xml:space="preserve">Storage vessels where liquid is left on walls, as bottom </w:t>
      </w:r>
      <w:proofErr w:type="spellStart"/>
      <w:r w:rsidRPr="00E015F4">
        <w:rPr>
          <w:sz w:val="24"/>
          <w:szCs w:val="24"/>
          <w:u w:val="single"/>
        </w:rPr>
        <w:t>clingage</w:t>
      </w:r>
      <w:proofErr w:type="spellEnd"/>
      <w:r w:rsidRPr="00E015F4">
        <w:rPr>
          <w:sz w:val="24"/>
          <w:szCs w:val="24"/>
          <w:u w:val="single"/>
        </w:rPr>
        <w:t>, or in pools due to floor irregularities are considered completely empty.</w:t>
      </w:r>
    </w:p>
    <w:p w:rsidR="000576CC" w:rsidRPr="00E015F4" w:rsidRDefault="000576CC" w:rsidP="000576CC">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CC3F14">
        <w:rPr>
          <w:sz w:val="24"/>
          <w:szCs w:val="24"/>
        </w:rPr>
        <w:tab/>
      </w:r>
      <w:r w:rsidRPr="00E015F4">
        <w:rPr>
          <w:sz w:val="24"/>
          <w:szCs w:val="24"/>
          <w:u w:val="single"/>
        </w:rPr>
        <w:t>F</w:t>
      </w:r>
      <w:r>
        <w:rPr>
          <w:sz w:val="24"/>
          <w:szCs w:val="24"/>
          <w:u w:val="single"/>
        </w:rPr>
        <w:t>.</w:t>
      </w:r>
      <w:r w:rsidRPr="00E015F4">
        <w:rPr>
          <w:sz w:val="24"/>
          <w:szCs w:val="24"/>
          <w:u w:val="single"/>
        </w:rPr>
        <w:tab/>
        <w:t>Emissions Inventory. Each stationary source subject to LAC 33:III.919 shall include emissions from each storage vessel authorized by this regulatory permit in its annual emissions inventory.</w:t>
      </w:r>
    </w:p>
    <w:p w:rsidR="000576CC" w:rsidRDefault="000576CC" w:rsidP="000576CC">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CC3F14">
        <w:rPr>
          <w:sz w:val="24"/>
          <w:szCs w:val="24"/>
        </w:rPr>
        <w:tab/>
      </w:r>
      <w:r w:rsidRPr="00E015F4">
        <w:rPr>
          <w:sz w:val="24"/>
          <w:szCs w:val="24"/>
          <w:u w:val="single"/>
        </w:rPr>
        <w:t>G.</w:t>
      </w:r>
      <w:r>
        <w:rPr>
          <w:sz w:val="24"/>
          <w:szCs w:val="24"/>
          <w:u w:val="single"/>
        </w:rPr>
        <w:tab/>
      </w:r>
      <w:r w:rsidRPr="00E015F4">
        <w:rPr>
          <w:spacing w:val="-3"/>
          <w:sz w:val="24"/>
          <w:szCs w:val="24"/>
          <w:u w:val="single"/>
        </w:rPr>
        <w:t>Notification Requirements</w:t>
      </w:r>
    </w:p>
    <w:p w:rsidR="000576CC" w:rsidRPr="00E015F4" w:rsidRDefault="000576CC" w:rsidP="000576CC">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1.</w:t>
      </w:r>
      <w:r w:rsidRPr="00E015F4">
        <w:rPr>
          <w:sz w:val="24"/>
          <w:szCs w:val="24"/>
          <w:u w:val="single"/>
        </w:rPr>
        <w:tab/>
        <w:t>Written notification describing the storage vessel shall be submitted to the Office of Environmental Services using the appropriate form provided by the department.</w:t>
      </w:r>
    </w:p>
    <w:p w:rsidR="000576CC" w:rsidRPr="00E015F4" w:rsidRDefault="000576CC" w:rsidP="000576CC">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CC3F14">
        <w:rPr>
          <w:sz w:val="24"/>
          <w:szCs w:val="24"/>
        </w:rPr>
        <w:tab/>
      </w:r>
      <w:r w:rsidRPr="00CC3F14">
        <w:rPr>
          <w:sz w:val="24"/>
          <w:szCs w:val="24"/>
        </w:rPr>
        <w:tab/>
      </w:r>
      <w:r w:rsidRPr="00E015F4">
        <w:rPr>
          <w:sz w:val="24"/>
          <w:szCs w:val="24"/>
          <w:u w:val="single"/>
        </w:rPr>
        <w:t>2.</w:t>
      </w:r>
      <w:r w:rsidRPr="00E015F4">
        <w:rPr>
          <w:sz w:val="24"/>
          <w:szCs w:val="24"/>
          <w:u w:val="single"/>
        </w:rPr>
        <w:tab/>
        <w:t>A separate notification shall be submitted for each storage vessel.</w:t>
      </w:r>
    </w:p>
    <w:p w:rsidR="000576CC" w:rsidRPr="00E015F4" w:rsidRDefault="000576CC" w:rsidP="000576CC">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u w:val="single"/>
        </w:rPr>
      </w:pPr>
      <w:r w:rsidRPr="00CC3F14">
        <w:rPr>
          <w:sz w:val="24"/>
          <w:szCs w:val="24"/>
        </w:rPr>
        <w:tab/>
      </w:r>
      <w:r w:rsidRPr="00E015F4">
        <w:rPr>
          <w:sz w:val="24"/>
          <w:szCs w:val="24"/>
          <w:u w:val="single"/>
        </w:rPr>
        <w:t>H</w:t>
      </w:r>
      <w:r>
        <w:rPr>
          <w:sz w:val="24"/>
          <w:szCs w:val="24"/>
          <w:u w:val="single"/>
        </w:rPr>
        <w:t>.</w:t>
      </w:r>
      <w:r>
        <w:rPr>
          <w:sz w:val="24"/>
          <w:szCs w:val="24"/>
          <w:u w:val="single"/>
        </w:rPr>
        <w:tab/>
      </w:r>
      <w:r w:rsidRPr="00E015F4">
        <w:rPr>
          <w:sz w:val="24"/>
          <w:szCs w:val="24"/>
          <w:u w:val="single"/>
        </w:rPr>
        <w:t>Fees. Fees for this regulatory permit shall be as prescribed by fee number 1670 of LAC 33:III.223, Table 1. Applicable surcharges as described in LAC 33:III.211.A shall also be assessed.</w:t>
      </w:r>
    </w:p>
    <w:p w:rsidR="000576CC" w:rsidRPr="00AE6D14" w:rsidRDefault="000576CC" w:rsidP="000576CC">
      <w:pPr>
        <w:pStyle w:val="AuthorityNote"/>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AE6D14">
        <w:rPr>
          <w:sz w:val="24"/>
          <w:szCs w:val="24"/>
        </w:rPr>
        <w:t>AUTHORITY NOTE:</w:t>
      </w:r>
      <w:r>
        <w:rPr>
          <w:sz w:val="24"/>
          <w:szCs w:val="24"/>
        </w:rPr>
        <w:tab/>
      </w:r>
      <w:r w:rsidRPr="00AE6D14">
        <w:rPr>
          <w:sz w:val="24"/>
          <w:szCs w:val="24"/>
        </w:rPr>
        <w:t>Promulgated in accordance with R.S. 30:2054.</w:t>
      </w:r>
    </w:p>
    <w:p w:rsidR="000576CC" w:rsidRDefault="000576CC" w:rsidP="000576C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AE6D14">
        <w:rPr>
          <w:sz w:val="24"/>
          <w:szCs w:val="24"/>
        </w:rPr>
        <w:t>HISTORICAL NOTE:</w:t>
      </w:r>
      <w:r w:rsidRPr="00AE6D14">
        <w:rPr>
          <w:sz w:val="24"/>
          <w:szCs w:val="24"/>
        </w:rPr>
        <w:tab/>
        <w:t xml:space="preserve">Promulgated by the Department of Environmental Quality, Office of the Secretary, Legal Division, </w:t>
      </w:r>
      <w:proofErr w:type="gramStart"/>
      <w:r w:rsidRPr="00AE6D14">
        <w:rPr>
          <w:sz w:val="24"/>
          <w:szCs w:val="24"/>
        </w:rPr>
        <w:t>LR</w:t>
      </w:r>
      <w:proofErr w:type="gramEnd"/>
      <w:r w:rsidRPr="00AE6D14">
        <w:rPr>
          <w:sz w:val="24"/>
          <w:szCs w:val="24"/>
        </w:rPr>
        <w:t xml:space="preserve"> 4</w:t>
      </w:r>
      <w:r>
        <w:rPr>
          <w:sz w:val="24"/>
          <w:szCs w:val="24"/>
        </w:rPr>
        <w:t>3:</w:t>
      </w:r>
    </w:p>
    <w:p w:rsidR="000576CC" w:rsidRPr="00AE6D14" w:rsidRDefault="000576CC" w:rsidP="000576CC">
      <w:pPr>
        <w:pStyle w:val="HistoricalNote"/>
        <w:tabs>
          <w:tab w:val="clear" w:pos="0"/>
          <w:tab w:val="left" w:pos="-360"/>
        </w:tabs>
        <w:spacing w:after="0"/>
        <w:ind w:firstLine="0"/>
        <w:jc w:val="left"/>
        <w:rPr>
          <w:sz w:val="24"/>
          <w:szCs w:val="24"/>
        </w:rPr>
      </w:pPr>
      <w:bookmarkStart w:id="1" w:name="_GoBack"/>
      <w:bookmarkEnd w:id="1"/>
    </w:p>
    <w:sectPr w:rsidR="000576CC" w:rsidRPr="00AE6D14" w:rsidSect="00BB29AD">
      <w:type w:val="continuous"/>
      <w:pgSz w:w="12240" w:h="15840" w:code="1"/>
      <w:pgMar w:top="1440" w:right="1440" w:bottom="1440" w:left="1440" w:header="360" w:footer="720" w:gutter="0"/>
      <w:paperSrc w:first="11" w:other="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CC" w:rsidRDefault="000576CC" w:rsidP="000576CC">
      <w:r>
        <w:separator/>
      </w:r>
    </w:p>
  </w:endnote>
  <w:endnote w:type="continuationSeparator" w:id="0">
    <w:p w:rsidR="000576CC" w:rsidRDefault="000576CC" w:rsidP="0005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CC" w:rsidRDefault="000576CC" w:rsidP="000576CC">
      <w:r>
        <w:separator/>
      </w:r>
    </w:p>
  </w:footnote>
  <w:footnote w:type="continuationSeparator" w:id="0">
    <w:p w:rsidR="000576CC" w:rsidRDefault="000576CC" w:rsidP="0005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CC" w:rsidRDefault="000576CC">
    <w:pPr>
      <w:pStyle w:val="Header"/>
    </w:pPr>
    <w:r>
      <w:t>Proposed/June 20, 2017</w:t>
    </w:r>
    <w:r>
      <w:tab/>
    </w:r>
    <w:r>
      <w:tab/>
      <w:t>AQ348</w:t>
    </w:r>
  </w:p>
  <w:p w:rsidR="000576CC" w:rsidRDefault="000576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47"/>
    <w:rsid w:val="0000277C"/>
    <w:rsid w:val="00005364"/>
    <w:rsid w:val="000126D0"/>
    <w:rsid w:val="00024BD6"/>
    <w:rsid w:val="000342D4"/>
    <w:rsid w:val="0004418D"/>
    <w:rsid w:val="00053C35"/>
    <w:rsid w:val="0005446A"/>
    <w:rsid w:val="000576CC"/>
    <w:rsid w:val="000724F8"/>
    <w:rsid w:val="00081A3E"/>
    <w:rsid w:val="000824EB"/>
    <w:rsid w:val="000C36AB"/>
    <w:rsid w:val="001232AE"/>
    <w:rsid w:val="00133B87"/>
    <w:rsid w:val="00174ED9"/>
    <w:rsid w:val="00190510"/>
    <w:rsid w:val="00191A90"/>
    <w:rsid w:val="0019352F"/>
    <w:rsid w:val="001B4587"/>
    <w:rsid w:val="001B53BE"/>
    <w:rsid w:val="001B79A8"/>
    <w:rsid w:val="001C757F"/>
    <w:rsid w:val="001D17C9"/>
    <w:rsid w:val="001D3AA1"/>
    <w:rsid w:val="00202D7B"/>
    <w:rsid w:val="002056A5"/>
    <w:rsid w:val="00205F6A"/>
    <w:rsid w:val="00210F43"/>
    <w:rsid w:val="002116D7"/>
    <w:rsid w:val="0023015E"/>
    <w:rsid w:val="00240179"/>
    <w:rsid w:val="00245CB3"/>
    <w:rsid w:val="002557BA"/>
    <w:rsid w:val="00260A44"/>
    <w:rsid w:val="002641A0"/>
    <w:rsid w:val="0028218F"/>
    <w:rsid w:val="00296DF3"/>
    <w:rsid w:val="00297865"/>
    <w:rsid w:val="002B7ABF"/>
    <w:rsid w:val="002C2504"/>
    <w:rsid w:val="002C7327"/>
    <w:rsid w:val="002D6E72"/>
    <w:rsid w:val="002E4166"/>
    <w:rsid w:val="002F0328"/>
    <w:rsid w:val="002F1DFF"/>
    <w:rsid w:val="002F6B52"/>
    <w:rsid w:val="00303A85"/>
    <w:rsid w:val="00305A54"/>
    <w:rsid w:val="003066D4"/>
    <w:rsid w:val="00321E43"/>
    <w:rsid w:val="00326675"/>
    <w:rsid w:val="003300C7"/>
    <w:rsid w:val="00341FD5"/>
    <w:rsid w:val="003500B9"/>
    <w:rsid w:val="00354835"/>
    <w:rsid w:val="00376CF3"/>
    <w:rsid w:val="00393C4F"/>
    <w:rsid w:val="003A005A"/>
    <w:rsid w:val="003A3288"/>
    <w:rsid w:val="003A4119"/>
    <w:rsid w:val="003A5BF5"/>
    <w:rsid w:val="003B2B55"/>
    <w:rsid w:val="003D4779"/>
    <w:rsid w:val="003D4978"/>
    <w:rsid w:val="00404236"/>
    <w:rsid w:val="00410EBB"/>
    <w:rsid w:val="00411F35"/>
    <w:rsid w:val="00416895"/>
    <w:rsid w:val="00441CCB"/>
    <w:rsid w:val="00442690"/>
    <w:rsid w:val="00450942"/>
    <w:rsid w:val="00465C45"/>
    <w:rsid w:val="004920F6"/>
    <w:rsid w:val="00495B05"/>
    <w:rsid w:val="004A4D98"/>
    <w:rsid w:val="004A4E68"/>
    <w:rsid w:val="004A7336"/>
    <w:rsid w:val="004B3370"/>
    <w:rsid w:val="004D1BAE"/>
    <w:rsid w:val="004E09F3"/>
    <w:rsid w:val="004E179C"/>
    <w:rsid w:val="004E608F"/>
    <w:rsid w:val="00511D9C"/>
    <w:rsid w:val="0052345E"/>
    <w:rsid w:val="00525046"/>
    <w:rsid w:val="00530D8F"/>
    <w:rsid w:val="00557E52"/>
    <w:rsid w:val="0058138D"/>
    <w:rsid w:val="00582A02"/>
    <w:rsid w:val="00584EE2"/>
    <w:rsid w:val="005D171B"/>
    <w:rsid w:val="005D272D"/>
    <w:rsid w:val="0060212A"/>
    <w:rsid w:val="00607D47"/>
    <w:rsid w:val="00612B19"/>
    <w:rsid w:val="0062150C"/>
    <w:rsid w:val="0062645A"/>
    <w:rsid w:val="00627B40"/>
    <w:rsid w:val="00667F5F"/>
    <w:rsid w:val="00687B38"/>
    <w:rsid w:val="006909EE"/>
    <w:rsid w:val="00690E75"/>
    <w:rsid w:val="006A60FE"/>
    <w:rsid w:val="006E3237"/>
    <w:rsid w:val="006F7147"/>
    <w:rsid w:val="006F7E85"/>
    <w:rsid w:val="007074B1"/>
    <w:rsid w:val="00713E47"/>
    <w:rsid w:val="007167AB"/>
    <w:rsid w:val="00727B1A"/>
    <w:rsid w:val="007403F0"/>
    <w:rsid w:val="00740967"/>
    <w:rsid w:val="00747B05"/>
    <w:rsid w:val="007503E4"/>
    <w:rsid w:val="0075408F"/>
    <w:rsid w:val="007A2EC0"/>
    <w:rsid w:val="007A71F3"/>
    <w:rsid w:val="007A788D"/>
    <w:rsid w:val="007B5943"/>
    <w:rsid w:val="007C405C"/>
    <w:rsid w:val="007D1717"/>
    <w:rsid w:val="007D4989"/>
    <w:rsid w:val="007D589A"/>
    <w:rsid w:val="007F2DFA"/>
    <w:rsid w:val="007F723A"/>
    <w:rsid w:val="00806BC9"/>
    <w:rsid w:val="00825808"/>
    <w:rsid w:val="008264B8"/>
    <w:rsid w:val="008316F5"/>
    <w:rsid w:val="00844154"/>
    <w:rsid w:val="00845F26"/>
    <w:rsid w:val="00871A6B"/>
    <w:rsid w:val="008828A6"/>
    <w:rsid w:val="00894009"/>
    <w:rsid w:val="00897F8A"/>
    <w:rsid w:val="008A6164"/>
    <w:rsid w:val="008C393C"/>
    <w:rsid w:val="008D126D"/>
    <w:rsid w:val="008F1B9C"/>
    <w:rsid w:val="008F4313"/>
    <w:rsid w:val="008F7862"/>
    <w:rsid w:val="00912753"/>
    <w:rsid w:val="0092093A"/>
    <w:rsid w:val="00920B7C"/>
    <w:rsid w:val="0092181A"/>
    <w:rsid w:val="009262A0"/>
    <w:rsid w:val="0093367D"/>
    <w:rsid w:val="009441EF"/>
    <w:rsid w:val="009452B6"/>
    <w:rsid w:val="00947A0F"/>
    <w:rsid w:val="00962D20"/>
    <w:rsid w:val="00965739"/>
    <w:rsid w:val="009874DD"/>
    <w:rsid w:val="009925FC"/>
    <w:rsid w:val="00992D89"/>
    <w:rsid w:val="009A1785"/>
    <w:rsid w:val="009B0891"/>
    <w:rsid w:val="009C152F"/>
    <w:rsid w:val="009C2423"/>
    <w:rsid w:val="009C3735"/>
    <w:rsid w:val="009D5994"/>
    <w:rsid w:val="009F3622"/>
    <w:rsid w:val="009F3ABE"/>
    <w:rsid w:val="00A00AB6"/>
    <w:rsid w:val="00A064B1"/>
    <w:rsid w:val="00A41136"/>
    <w:rsid w:val="00A42698"/>
    <w:rsid w:val="00A4589D"/>
    <w:rsid w:val="00A61744"/>
    <w:rsid w:val="00A75263"/>
    <w:rsid w:val="00A7658C"/>
    <w:rsid w:val="00A76A7A"/>
    <w:rsid w:val="00A80186"/>
    <w:rsid w:val="00A8402F"/>
    <w:rsid w:val="00A9353E"/>
    <w:rsid w:val="00AA6B49"/>
    <w:rsid w:val="00AB172A"/>
    <w:rsid w:val="00AD073F"/>
    <w:rsid w:val="00AD366F"/>
    <w:rsid w:val="00AE7F03"/>
    <w:rsid w:val="00AF78BB"/>
    <w:rsid w:val="00B053D7"/>
    <w:rsid w:val="00B118A8"/>
    <w:rsid w:val="00B25C2A"/>
    <w:rsid w:val="00B4354D"/>
    <w:rsid w:val="00B43654"/>
    <w:rsid w:val="00B53EBD"/>
    <w:rsid w:val="00B553CF"/>
    <w:rsid w:val="00B75505"/>
    <w:rsid w:val="00BA5794"/>
    <w:rsid w:val="00BB29AD"/>
    <w:rsid w:val="00BB6A8B"/>
    <w:rsid w:val="00BC6B6F"/>
    <w:rsid w:val="00BD0874"/>
    <w:rsid w:val="00BD6757"/>
    <w:rsid w:val="00BE0BC6"/>
    <w:rsid w:val="00BF56F8"/>
    <w:rsid w:val="00C2125B"/>
    <w:rsid w:val="00C316E8"/>
    <w:rsid w:val="00C35371"/>
    <w:rsid w:val="00C51B32"/>
    <w:rsid w:val="00C546C8"/>
    <w:rsid w:val="00C61F60"/>
    <w:rsid w:val="00C70727"/>
    <w:rsid w:val="00C822A6"/>
    <w:rsid w:val="00C9111B"/>
    <w:rsid w:val="00C91F45"/>
    <w:rsid w:val="00C96CE3"/>
    <w:rsid w:val="00CB4964"/>
    <w:rsid w:val="00CD5FAB"/>
    <w:rsid w:val="00CE5FD4"/>
    <w:rsid w:val="00CF3E85"/>
    <w:rsid w:val="00CF641C"/>
    <w:rsid w:val="00CF74EC"/>
    <w:rsid w:val="00CF7C26"/>
    <w:rsid w:val="00D06D24"/>
    <w:rsid w:val="00D23BFC"/>
    <w:rsid w:val="00D37C61"/>
    <w:rsid w:val="00D707CE"/>
    <w:rsid w:val="00D743A5"/>
    <w:rsid w:val="00D748A9"/>
    <w:rsid w:val="00D7657A"/>
    <w:rsid w:val="00D768D6"/>
    <w:rsid w:val="00D87497"/>
    <w:rsid w:val="00D938CA"/>
    <w:rsid w:val="00DB426A"/>
    <w:rsid w:val="00DB6B80"/>
    <w:rsid w:val="00DD28A5"/>
    <w:rsid w:val="00DD48E2"/>
    <w:rsid w:val="00DD684C"/>
    <w:rsid w:val="00DE19EC"/>
    <w:rsid w:val="00DF30C7"/>
    <w:rsid w:val="00E02FFB"/>
    <w:rsid w:val="00E036DB"/>
    <w:rsid w:val="00E353C3"/>
    <w:rsid w:val="00E4791A"/>
    <w:rsid w:val="00E67F21"/>
    <w:rsid w:val="00EA3713"/>
    <w:rsid w:val="00EC3052"/>
    <w:rsid w:val="00ED363A"/>
    <w:rsid w:val="00ED59AB"/>
    <w:rsid w:val="00EE280A"/>
    <w:rsid w:val="00EF36C1"/>
    <w:rsid w:val="00EF6AB3"/>
    <w:rsid w:val="00F05BD4"/>
    <w:rsid w:val="00F238CC"/>
    <w:rsid w:val="00F36382"/>
    <w:rsid w:val="00F50A56"/>
    <w:rsid w:val="00F61489"/>
    <w:rsid w:val="00F652EE"/>
    <w:rsid w:val="00F727E6"/>
    <w:rsid w:val="00F73292"/>
    <w:rsid w:val="00F92424"/>
    <w:rsid w:val="00F9372A"/>
    <w:rsid w:val="00F94AD8"/>
    <w:rsid w:val="00FA5147"/>
    <w:rsid w:val="00FC1876"/>
    <w:rsid w:val="00FC689C"/>
    <w:rsid w:val="00FF22F8"/>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rsid w:val="000576C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0576CC"/>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rsid w:val="000576CC"/>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0">
    <w:name w:val="a."/>
    <w:basedOn w:val="Normal"/>
    <w:rsid w:val="000576CC"/>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AuthorityNote">
    <w:name w:val="Authority Note"/>
    <w:basedOn w:val="Normal"/>
    <w:rsid w:val="000576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0576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0576CC"/>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0576CC"/>
    <w:pPr>
      <w:keepNext/>
      <w:keepLines/>
      <w:spacing w:before="240" w:after="240"/>
      <w:jc w:val="center"/>
    </w:pPr>
    <w:rPr>
      <w:b/>
      <w:noProof/>
      <w:sz w:val="28"/>
    </w:rPr>
  </w:style>
  <w:style w:type="paragraph" w:customStyle="1" w:styleId="Chapter">
    <w:name w:val="Chapter"/>
    <w:basedOn w:val="Normal"/>
    <w:rsid w:val="000576C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1Char">
    <w:name w:val="1. Char"/>
    <w:link w:val="1"/>
    <w:rsid w:val="000576CC"/>
    <w:rPr>
      <w:kern w:val="2"/>
    </w:rPr>
  </w:style>
  <w:style w:type="character" w:customStyle="1" w:styleId="AChar">
    <w:name w:val="A. Char"/>
    <w:link w:val="A"/>
    <w:rsid w:val="000576CC"/>
    <w:rPr>
      <w:kern w:val="2"/>
    </w:rPr>
  </w:style>
  <w:style w:type="character" w:customStyle="1" w:styleId="HistoricalNoteChar">
    <w:name w:val="Historical Note Char"/>
    <w:link w:val="HistoricalNote"/>
    <w:rsid w:val="000576CC"/>
    <w:rPr>
      <w:kern w:val="2"/>
      <w:sz w:val="18"/>
    </w:rPr>
  </w:style>
  <w:style w:type="paragraph" w:styleId="Title">
    <w:name w:val="Title"/>
    <w:basedOn w:val="Normal"/>
    <w:next w:val="Normal"/>
    <w:link w:val="TitleChar"/>
    <w:qFormat/>
    <w:rsid w:val="000576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576C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0576CC"/>
    <w:pPr>
      <w:tabs>
        <w:tab w:val="center" w:pos="4680"/>
        <w:tab w:val="right" w:pos="9360"/>
      </w:tabs>
    </w:pPr>
  </w:style>
  <w:style w:type="character" w:customStyle="1" w:styleId="HeaderChar">
    <w:name w:val="Header Char"/>
    <w:basedOn w:val="DefaultParagraphFont"/>
    <w:link w:val="Header"/>
    <w:uiPriority w:val="99"/>
    <w:rsid w:val="000576CC"/>
    <w:rPr>
      <w:sz w:val="24"/>
      <w:szCs w:val="24"/>
    </w:rPr>
  </w:style>
  <w:style w:type="paragraph" w:styleId="Footer">
    <w:name w:val="footer"/>
    <w:basedOn w:val="Normal"/>
    <w:link w:val="FooterChar"/>
    <w:rsid w:val="000576CC"/>
    <w:pPr>
      <w:tabs>
        <w:tab w:val="center" w:pos="4680"/>
        <w:tab w:val="right" w:pos="9360"/>
      </w:tabs>
    </w:pPr>
  </w:style>
  <w:style w:type="character" w:customStyle="1" w:styleId="FooterChar">
    <w:name w:val="Footer Char"/>
    <w:basedOn w:val="DefaultParagraphFont"/>
    <w:link w:val="Footer"/>
    <w:rsid w:val="000576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
    <w:name w:val="Section"/>
    <w:basedOn w:val="Normal"/>
    <w:rsid w:val="000576C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0576CC"/>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rsid w:val="000576CC"/>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0">
    <w:name w:val="a."/>
    <w:basedOn w:val="Normal"/>
    <w:rsid w:val="000576CC"/>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AuthorityNote">
    <w:name w:val="Authority Note"/>
    <w:basedOn w:val="Normal"/>
    <w:rsid w:val="000576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0576C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0576CC"/>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0576CC"/>
    <w:pPr>
      <w:keepNext/>
      <w:keepLines/>
      <w:spacing w:before="240" w:after="240"/>
      <w:jc w:val="center"/>
    </w:pPr>
    <w:rPr>
      <w:b/>
      <w:noProof/>
      <w:sz w:val="28"/>
    </w:rPr>
  </w:style>
  <w:style w:type="paragraph" w:customStyle="1" w:styleId="Chapter">
    <w:name w:val="Chapter"/>
    <w:basedOn w:val="Normal"/>
    <w:rsid w:val="000576C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1Char">
    <w:name w:val="1. Char"/>
    <w:link w:val="1"/>
    <w:rsid w:val="000576CC"/>
    <w:rPr>
      <w:kern w:val="2"/>
    </w:rPr>
  </w:style>
  <w:style w:type="character" w:customStyle="1" w:styleId="AChar">
    <w:name w:val="A. Char"/>
    <w:link w:val="A"/>
    <w:rsid w:val="000576CC"/>
    <w:rPr>
      <w:kern w:val="2"/>
    </w:rPr>
  </w:style>
  <w:style w:type="character" w:customStyle="1" w:styleId="HistoricalNoteChar">
    <w:name w:val="Historical Note Char"/>
    <w:link w:val="HistoricalNote"/>
    <w:rsid w:val="000576CC"/>
    <w:rPr>
      <w:kern w:val="2"/>
      <w:sz w:val="18"/>
    </w:rPr>
  </w:style>
  <w:style w:type="paragraph" w:styleId="Title">
    <w:name w:val="Title"/>
    <w:basedOn w:val="Normal"/>
    <w:next w:val="Normal"/>
    <w:link w:val="TitleChar"/>
    <w:qFormat/>
    <w:rsid w:val="000576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576C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0576CC"/>
    <w:pPr>
      <w:tabs>
        <w:tab w:val="center" w:pos="4680"/>
        <w:tab w:val="right" w:pos="9360"/>
      </w:tabs>
    </w:pPr>
  </w:style>
  <w:style w:type="character" w:customStyle="1" w:styleId="HeaderChar">
    <w:name w:val="Header Char"/>
    <w:basedOn w:val="DefaultParagraphFont"/>
    <w:link w:val="Header"/>
    <w:uiPriority w:val="99"/>
    <w:rsid w:val="000576CC"/>
    <w:rPr>
      <w:sz w:val="24"/>
      <w:szCs w:val="24"/>
    </w:rPr>
  </w:style>
  <w:style w:type="paragraph" w:styleId="Footer">
    <w:name w:val="footer"/>
    <w:basedOn w:val="Normal"/>
    <w:link w:val="FooterChar"/>
    <w:rsid w:val="000576CC"/>
    <w:pPr>
      <w:tabs>
        <w:tab w:val="center" w:pos="4680"/>
        <w:tab w:val="right" w:pos="9360"/>
      </w:tabs>
    </w:pPr>
  </w:style>
  <w:style w:type="character" w:customStyle="1" w:styleId="FooterChar">
    <w:name w:val="Footer Char"/>
    <w:basedOn w:val="DefaultParagraphFont"/>
    <w:link w:val="Footer"/>
    <w:rsid w:val="000576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71B5-4046-44FA-B2D0-C69B92DC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Helpline</cp:lastModifiedBy>
  <cp:revision>2</cp:revision>
  <cp:lastPrinted>2014-06-12T15:58:00Z</cp:lastPrinted>
  <dcterms:created xsi:type="dcterms:W3CDTF">2017-06-08T15:48:00Z</dcterms:created>
  <dcterms:modified xsi:type="dcterms:W3CDTF">2017-06-08T15:48:00Z</dcterms:modified>
</cp:coreProperties>
</file>