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25" w:rsidRDefault="00276725" w:rsidP="00FD3420">
      <w:pPr>
        <w:pStyle w:val="Chapter"/>
        <w:keepNext w:val="0"/>
        <w:keepLines w:val="0"/>
        <w:widowControl w:val="0"/>
        <w:ind w:left="0"/>
        <w:jc w:val="left"/>
        <w:rPr>
          <w:sz w:val="24"/>
          <w:szCs w:val="24"/>
        </w:rPr>
      </w:pPr>
      <w:bookmarkStart w:id="0" w:name="TOC_Chap188"/>
    </w:p>
    <w:p w:rsidR="00276725" w:rsidRDefault="00276725" w:rsidP="00276725">
      <w:pPr>
        <w:jc w:val="center"/>
      </w:pPr>
      <w:r>
        <w:t>NOTICE OF INTENT</w:t>
      </w:r>
    </w:p>
    <w:p w:rsidR="00276725" w:rsidRDefault="00276725" w:rsidP="00276725">
      <w:pPr>
        <w:jc w:val="center"/>
      </w:pPr>
    </w:p>
    <w:p w:rsidR="00276725" w:rsidRDefault="00276725" w:rsidP="00276725">
      <w:pPr>
        <w:jc w:val="center"/>
      </w:pPr>
      <w:r>
        <w:t>Department of Environmental Quality</w:t>
      </w:r>
    </w:p>
    <w:p w:rsidR="00276725" w:rsidRDefault="00276725" w:rsidP="00276725">
      <w:pPr>
        <w:jc w:val="center"/>
      </w:pPr>
      <w:r>
        <w:t>Office of the Secretary</w:t>
      </w:r>
    </w:p>
    <w:p w:rsidR="00276725" w:rsidRDefault="00276725" w:rsidP="00276725">
      <w:pPr>
        <w:jc w:val="center"/>
      </w:pPr>
      <w:r>
        <w:t>Legal Affairs and Criminal Investigations Division</w:t>
      </w:r>
    </w:p>
    <w:p w:rsidR="00276725" w:rsidRDefault="00276725" w:rsidP="00276725">
      <w:pPr>
        <w:jc w:val="center"/>
      </w:pPr>
    </w:p>
    <w:p w:rsidR="00276725" w:rsidRDefault="00276725" w:rsidP="00276725">
      <w:pPr>
        <w:jc w:val="center"/>
      </w:pPr>
      <w:r w:rsidRPr="009374E8">
        <w:rPr>
          <w:noProof/>
        </w:rPr>
        <w:t>Correction to LAC 33:IX.7117. Appendix I</w:t>
      </w:r>
    </w:p>
    <w:p w:rsidR="00276725" w:rsidRDefault="00276725" w:rsidP="00276725">
      <w:pPr>
        <w:jc w:val="center"/>
      </w:pPr>
      <w:r>
        <w:t>(</w:t>
      </w:r>
      <w:r w:rsidRPr="009374E8">
        <w:rPr>
          <w:noProof/>
        </w:rPr>
        <w:t>LAC 33:IX.7117</w:t>
      </w:r>
      <w:r>
        <w:t>) (</w:t>
      </w:r>
      <w:r w:rsidRPr="009374E8">
        <w:rPr>
          <w:noProof/>
        </w:rPr>
        <w:t>WQ098ft</w:t>
      </w:r>
      <w:r>
        <w:t>)</w:t>
      </w:r>
    </w:p>
    <w:p w:rsidR="00276725" w:rsidRDefault="00276725" w:rsidP="00276725">
      <w:pPr>
        <w:jc w:val="center"/>
      </w:pPr>
    </w:p>
    <w:p w:rsidR="00276725" w:rsidRDefault="00276725" w:rsidP="00276725">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9374E8">
        <w:rPr>
          <w:noProof/>
        </w:rPr>
        <w:t>Water Quality</w:t>
      </w:r>
      <w:r>
        <w:t xml:space="preserve"> regulations, </w:t>
      </w:r>
      <w:r w:rsidRPr="009374E8">
        <w:rPr>
          <w:noProof/>
        </w:rPr>
        <w:t>LAC 33:IX.7117</w:t>
      </w:r>
      <w:r>
        <w:t xml:space="preserve"> (Log #</w:t>
      </w:r>
      <w:r w:rsidRPr="009374E8">
        <w:rPr>
          <w:noProof/>
        </w:rPr>
        <w:t>WQ098ft</w:t>
      </w:r>
      <w:r>
        <w:t>).</w:t>
      </w:r>
    </w:p>
    <w:p w:rsidR="00276725" w:rsidRDefault="00276725" w:rsidP="00276725"/>
    <w:p w:rsidR="00276725" w:rsidRDefault="00276725" w:rsidP="00276725">
      <w:r>
        <w:tab/>
        <w:t xml:space="preserve">This Rule is identical to federal regulations found in </w:t>
      </w:r>
      <w:r w:rsidRPr="009374E8">
        <w:rPr>
          <w:noProof/>
        </w:rPr>
        <w:t>40 CFR 122, Appendix I</w:t>
      </w:r>
      <w:r>
        <w:t>, which are applicable in Louisiana.  For more information regarding the federal requirement, contact the Regulation Development Section at (225) 219-3985 o</w:t>
      </w:r>
      <w:bookmarkStart w:id="1" w:name="_GoBack"/>
      <w:bookmarkEnd w:id="1"/>
      <w:r>
        <w:t>r P.O. Box 4302, Baton Rouge, LA 70821-4302.  No fiscal or economic impact will result from the Rule.  This Rule will be promulgated in accordance with the procedures in R.S. 49:953(F)(3) and (4).</w:t>
      </w:r>
    </w:p>
    <w:p w:rsidR="00276725" w:rsidRDefault="00276725" w:rsidP="00276725"/>
    <w:p w:rsidR="00276725" w:rsidRDefault="00276725" w:rsidP="00276725">
      <w:r>
        <w:tab/>
      </w:r>
      <w:r w:rsidRPr="009374E8">
        <w:rPr>
          <w:noProof/>
        </w:rPr>
        <w:t>This Rule include</w:t>
      </w:r>
      <w:r>
        <w:rPr>
          <w:noProof/>
        </w:rPr>
        <w:t>s</w:t>
      </w:r>
      <w:r w:rsidRPr="009374E8">
        <w:rPr>
          <w:noProof/>
        </w:rPr>
        <w:t xml:space="preserve"> East Baton Rouge Parish as an unincorporated urbanized area greater than 100,000, but less than 250,000 according to the 1990 Decennial Census by the Bureau of the Census. This</w:t>
      </w:r>
      <w:r>
        <w:rPr>
          <w:noProof/>
        </w:rPr>
        <w:t xml:space="preserve"> information</w:t>
      </w:r>
      <w:r w:rsidRPr="009374E8">
        <w:rPr>
          <w:noProof/>
        </w:rPr>
        <w:t xml:space="preserve"> can be found at 64 FR 68849, December 8, 1999.  The US Environmental Protection Agency finalized the Phase II stormwater regulations on December 8, 1999, to address discharges of storm water from small municipal separate storm sewer systems (MS4s). As part of this rule, EPA also updated the list of designated Phase I MS4s, which are included in 40 CFR 122, Appendix I. This update include</w:t>
      </w:r>
      <w:r>
        <w:rPr>
          <w:noProof/>
        </w:rPr>
        <w:t>s</w:t>
      </w:r>
      <w:r w:rsidRPr="009374E8">
        <w:rPr>
          <w:noProof/>
        </w:rPr>
        <w:t xml:space="preserve"> the addition of unincorporated area of East Baton Rouge Parish as a Phase I MS4.  The incorporated area of Baton Rouge was previously listed in the 1990 Phase I storm water rule.  LDEQ subsequently adopted the Phase II stormwater regulations in the rule, log number WQ039, finalized on October 20, 2000.  Updates to LAC 33:IX.7117 (the corresponding section to 40 CFR 122, Appendix I) were inadvertently omitted from the 2000 rule.  Th</w:t>
      </w:r>
      <w:r>
        <w:rPr>
          <w:noProof/>
        </w:rPr>
        <w:t>e current</w:t>
      </w:r>
      <w:r w:rsidRPr="009374E8">
        <w:rPr>
          <w:noProof/>
        </w:rPr>
        <w:t xml:space="preserve"> Rule will correct that omission.</w:t>
      </w:r>
      <w:r>
        <w:t xml:space="preserve">  </w:t>
      </w:r>
      <w:r w:rsidRPr="009374E8">
        <w:rPr>
          <w:noProof/>
        </w:rPr>
        <w:t>The basis and rationale for this Rule are to mirror existing federal regulations, ensu</w:t>
      </w:r>
      <w:r>
        <w:rPr>
          <w:noProof/>
        </w:rPr>
        <w:t>r</w:t>
      </w:r>
      <w:r w:rsidRPr="009374E8">
        <w:rPr>
          <w:noProof/>
        </w:rPr>
        <w:t>ing LDEQ's ability to issue and enforce LPDES permit requirements for the East Baton Rouge parish MS4.</w:t>
      </w:r>
      <w:r>
        <w:t xml:space="preserve">  This Rule meets an exception listed in R.S. 30:2019(D)(2) and R.S. 49:953(G)(3); therefore, no report regarding environmental/health benefits and social/economic costs is required.</w:t>
      </w:r>
    </w:p>
    <w:p w:rsidR="00276725" w:rsidRDefault="00276725" w:rsidP="00276725"/>
    <w:p w:rsidR="00276725" w:rsidRPr="00D54CEA" w:rsidRDefault="00276725" w:rsidP="00276725">
      <w:pPr>
        <w:ind w:firstLine="720"/>
        <w:jc w:val="center"/>
        <w:rPr>
          <w:b/>
        </w:rPr>
      </w:pPr>
      <w:r w:rsidRPr="00D54CEA">
        <w:rPr>
          <w:b/>
        </w:rPr>
        <w:t>Family Impact Statement</w:t>
      </w:r>
    </w:p>
    <w:p w:rsidR="00276725" w:rsidRDefault="00276725" w:rsidP="00276725">
      <w:pPr>
        <w:ind w:firstLine="720"/>
        <w:rPr>
          <w:szCs w:val="24"/>
        </w:rPr>
      </w:pPr>
      <w:r>
        <w:t xml:space="preserve">This Rule has no known impact on family formation, stability, and autonomy as described in R.S. 49:972. </w:t>
      </w:r>
    </w:p>
    <w:p w:rsidR="00276725" w:rsidRPr="00D54CEA" w:rsidRDefault="00276725" w:rsidP="00276725">
      <w:pPr>
        <w:ind w:firstLine="720"/>
        <w:jc w:val="center"/>
        <w:rPr>
          <w:b/>
          <w:szCs w:val="24"/>
        </w:rPr>
      </w:pPr>
      <w:r w:rsidRPr="00D54CEA">
        <w:rPr>
          <w:b/>
          <w:szCs w:val="24"/>
        </w:rPr>
        <w:t>Poverty Impact Statement</w:t>
      </w:r>
    </w:p>
    <w:p w:rsidR="00276725" w:rsidRDefault="00276725" w:rsidP="00276725">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276725" w:rsidRDefault="00276725" w:rsidP="00276725">
      <w:pPr>
        <w:ind w:firstLine="720"/>
        <w:rPr>
          <w:color w:val="000000"/>
          <w:szCs w:val="24"/>
        </w:rPr>
      </w:pPr>
    </w:p>
    <w:p w:rsidR="00276725" w:rsidRPr="00D54CEA" w:rsidRDefault="00276725" w:rsidP="00276725">
      <w:pPr>
        <w:ind w:firstLine="720"/>
        <w:jc w:val="center"/>
        <w:rPr>
          <w:b/>
          <w:color w:val="000000"/>
          <w:szCs w:val="24"/>
        </w:rPr>
      </w:pPr>
      <w:r w:rsidRPr="00D54CEA">
        <w:rPr>
          <w:b/>
          <w:color w:val="000000"/>
          <w:szCs w:val="24"/>
        </w:rPr>
        <w:t>Provider Impact Statement</w:t>
      </w:r>
    </w:p>
    <w:p w:rsidR="00276725" w:rsidRPr="00DA67A2" w:rsidRDefault="00276725" w:rsidP="00276725">
      <w:pPr>
        <w:ind w:firstLine="720"/>
        <w:rPr>
          <w:szCs w:val="24"/>
        </w:rPr>
      </w:pPr>
      <w:r>
        <w:rPr>
          <w:color w:val="000000"/>
          <w:szCs w:val="24"/>
        </w:rPr>
        <w:t xml:space="preserve">This Rule has no known impact on providers as described in HCR 170 of 2014. </w:t>
      </w:r>
    </w:p>
    <w:p w:rsidR="00276725" w:rsidRDefault="00276725" w:rsidP="00276725"/>
    <w:p w:rsidR="00276725" w:rsidRPr="00D54CEA" w:rsidRDefault="00276725" w:rsidP="00276725">
      <w:pPr>
        <w:jc w:val="center"/>
        <w:rPr>
          <w:b/>
        </w:rPr>
      </w:pPr>
      <w:r w:rsidRPr="00D54CEA">
        <w:rPr>
          <w:b/>
        </w:rPr>
        <w:t xml:space="preserve">Public </w:t>
      </w:r>
      <w:r>
        <w:rPr>
          <w:b/>
        </w:rPr>
        <w:t>Hearing</w:t>
      </w:r>
    </w:p>
    <w:p w:rsidR="00276725" w:rsidRDefault="00276725" w:rsidP="00276725">
      <w:pPr>
        <w:ind w:firstLine="720"/>
      </w:pPr>
      <w:r>
        <w:t xml:space="preserve">A public hearing will be held on </w:t>
      </w:r>
      <w:r>
        <w:rPr>
          <w:noProof/>
        </w:rPr>
        <w:t>August 28, 2018</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rsidR="00276725" w:rsidRDefault="00276725" w:rsidP="00276725"/>
    <w:p w:rsidR="00276725" w:rsidRPr="00D54CEA" w:rsidRDefault="00276725" w:rsidP="00276725">
      <w:pPr>
        <w:jc w:val="center"/>
        <w:rPr>
          <w:b/>
        </w:rPr>
      </w:pPr>
      <w:r w:rsidRPr="00D54CEA">
        <w:rPr>
          <w:b/>
        </w:rPr>
        <w:t xml:space="preserve">Public </w:t>
      </w:r>
      <w:r>
        <w:rPr>
          <w:b/>
        </w:rPr>
        <w:t>Comments</w:t>
      </w:r>
    </w:p>
    <w:p w:rsidR="00276725" w:rsidRDefault="00276725" w:rsidP="00276725">
      <w:pPr>
        <w:ind w:firstLine="720"/>
      </w:pPr>
      <w:r>
        <w:t xml:space="preserve">All interested persons are invited to submit written comments on the proposed regulation. Persons commenting should reference this proposed regulation by </w:t>
      </w:r>
      <w:r w:rsidRPr="009374E8">
        <w:rPr>
          <w:noProof/>
        </w:rPr>
        <w:t>WQ098ft</w:t>
      </w:r>
      <w:r>
        <w:t xml:space="preserve">.  Such comments must be received no later than </w:t>
      </w:r>
      <w:r>
        <w:rPr>
          <w:noProof/>
        </w:rPr>
        <w:t>August 28, 2018</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deidra.johnson@la.gov.  The comment period for this rule ends on the same date as the public hearing.  Copies of this proposed regulation can be purchased by contacting the DEQ Public Records Center at (225) 219-3168.  Check or money order is required in advance for each copy of </w:t>
      </w:r>
      <w:r w:rsidRPr="009374E8">
        <w:rPr>
          <w:noProof/>
        </w:rPr>
        <w:t>WQ098ft</w:t>
      </w:r>
      <w:r>
        <w:t xml:space="preserve">.  This regulation is available on the Internet at </w:t>
      </w:r>
      <w:hyperlink r:id="rId7" w:history="1">
        <w:r w:rsidRPr="00D80924">
          <w:rPr>
            <w:rStyle w:val="Hyperlink"/>
          </w:rPr>
          <w:t>www.deq.louisiana.gov/portal/tabid/</w:t>
        </w:r>
        <w:r>
          <w:rPr>
            <w:rStyle w:val="Hyperlink"/>
          </w:rPr>
          <w:t>1669</w:t>
        </w:r>
        <w:r w:rsidRPr="00D80924">
          <w:rPr>
            <w:rStyle w:val="Hyperlink"/>
          </w:rPr>
          <w:t>/default.aspx</w:t>
        </w:r>
      </w:hyperlink>
      <w:r>
        <w:t>.</w:t>
      </w:r>
    </w:p>
    <w:p w:rsidR="00276725" w:rsidRDefault="00276725" w:rsidP="00276725"/>
    <w:p w:rsidR="00276725" w:rsidRDefault="00276725" w:rsidP="00276725">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Barataria Street, Lockport, LA 70374; </w:t>
      </w:r>
      <w:r>
        <w:rPr>
          <w:szCs w:val="24"/>
        </w:rPr>
        <w:t>201 Evans Road, Bldg. 4, Suite 420, New Orleans, LA  70123</w:t>
      </w:r>
      <w:r>
        <w:t>.</w:t>
      </w:r>
    </w:p>
    <w:p w:rsidR="00276725" w:rsidRDefault="00276725" w:rsidP="00276725"/>
    <w:p w:rsidR="00276725" w:rsidRDefault="00276725" w:rsidP="00276725">
      <w:r>
        <w:tab/>
      </w:r>
      <w:r>
        <w:tab/>
      </w:r>
      <w:r>
        <w:tab/>
      </w:r>
      <w:r>
        <w:tab/>
      </w:r>
      <w:r>
        <w:tab/>
      </w:r>
      <w:r>
        <w:tab/>
        <w:t>Herman Robinson</w:t>
      </w:r>
    </w:p>
    <w:p w:rsidR="00276725" w:rsidRDefault="00276725" w:rsidP="00276725">
      <w:r>
        <w:tab/>
      </w:r>
      <w:r>
        <w:tab/>
      </w:r>
      <w:r>
        <w:tab/>
      </w:r>
      <w:r>
        <w:tab/>
      </w:r>
      <w:r>
        <w:tab/>
      </w:r>
      <w:r>
        <w:tab/>
        <w:t>General Counsel</w:t>
      </w:r>
    </w:p>
    <w:p w:rsidR="00276725" w:rsidRDefault="00276725">
      <w:pPr>
        <w:spacing w:after="200" w:line="276" w:lineRule="auto"/>
        <w:rPr>
          <w:b/>
          <w:kern w:val="2"/>
          <w:szCs w:val="24"/>
        </w:rPr>
      </w:pPr>
      <w:r>
        <w:rPr>
          <w:szCs w:val="24"/>
        </w:rPr>
        <w:br w:type="page"/>
      </w:r>
    </w:p>
    <w:p w:rsidR="00765EC0" w:rsidRPr="00FD3420" w:rsidRDefault="00765EC0" w:rsidP="00FD3420">
      <w:pPr>
        <w:pStyle w:val="Chapter"/>
        <w:keepNext w:val="0"/>
        <w:keepLines w:val="0"/>
        <w:widowControl w:val="0"/>
        <w:ind w:left="0"/>
        <w:jc w:val="left"/>
        <w:rPr>
          <w:sz w:val="24"/>
          <w:szCs w:val="24"/>
        </w:rPr>
      </w:pPr>
    </w:p>
    <w:p w:rsidR="00765EC0" w:rsidRPr="00FD3420" w:rsidRDefault="00765EC0" w:rsidP="00FD3420">
      <w:pPr>
        <w:pStyle w:val="Header"/>
        <w:widowControl w:val="0"/>
        <w:jc w:val="center"/>
        <w:rPr>
          <w:b/>
          <w:bCs/>
          <w:sz w:val="24"/>
          <w:szCs w:val="24"/>
        </w:rPr>
      </w:pPr>
    </w:p>
    <w:p w:rsidR="00765EC0" w:rsidRPr="00FD3420" w:rsidRDefault="00765EC0" w:rsidP="00FD3420">
      <w:pPr>
        <w:pStyle w:val="Header"/>
        <w:widowControl w:val="0"/>
        <w:jc w:val="center"/>
        <w:rPr>
          <w:b/>
          <w:bCs/>
          <w:sz w:val="24"/>
          <w:szCs w:val="24"/>
        </w:rPr>
      </w:pPr>
      <w:r w:rsidRPr="00FD3420">
        <w:rPr>
          <w:b/>
          <w:bCs/>
          <w:sz w:val="24"/>
          <w:szCs w:val="24"/>
        </w:rPr>
        <w:t>Title 33</w:t>
      </w:r>
    </w:p>
    <w:p w:rsidR="00765EC0" w:rsidRPr="00FD3420" w:rsidRDefault="00765EC0" w:rsidP="00FD3420">
      <w:pPr>
        <w:pStyle w:val="Header"/>
        <w:widowControl w:val="0"/>
        <w:jc w:val="center"/>
        <w:rPr>
          <w:b/>
          <w:bCs/>
          <w:sz w:val="24"/>
          <w:szCs w:val="24"/>
        </w:rPr>
      </w:pPr>
      <w:r w:rsidRPr="00FD3420">
        <w:rPr>
          <w:b/>
          <w:bCs/>
          <w:sz w:val="24"/>
          <w:szCs w:val="24"/>
        </w:rPr>
        <w:t>ENVIRONMENTAL QUALITY</w:t>
      </w:r>
    </w:p>
    <w:p w:rsidR="005C4A7F" w:rsidRPr="00FD3420" w:rsidRDefault="005C4A7F" w:rsidP="00FD3420">
      <w:pPr>
        <w:pStyle w:val="Header"/>
        <w:widowControl w:val="0"/>
        <w:jc w:val="center"/>
        <w:rPr>
          <w:b/>
          <w:bCs/>
          <w:sz w:val="24"/>
          <w:szCs w:val="24"/>
        </w:rPr>
      </w:pPr>
      <w:r w:rsidRPr="00FD3420">
        <w:rPr>
          <w:b/>
          <w:bCs/>
          <w:sz w:val="24"/>
          <w:szCs w:val="24"/>
        </w:rPr>
        <w:t xml:space="preserve">Part IX. </w:t>
      </w:r>
      <w:r w:rsidR="00FD3420">
        <w:rPr>
          <w:b/>
          <w:bCs/>
          <w:sz w:val="24"/>
          <w:szCs w:val="24"/>
        </w:rPr>
        <w:t xml:space="preserve"> </w:t>
      </w:r>
      <w:r w:rsidRPr="00FD3420">
        <w:rPr>
          <w:b/>
          <w:bCs/>
          <w:sz w:val="24"/>
          <w:szCs w:val="24"/>
        </w:rPr>
        <w:t>Water Quality</w:t>
      </w:r>
    </w:p>
    <w:p w:rsidR="005C4A7F" w:rsidRPr="00FD3420" w:rsidRDefault="00FD3420" w:rsidP="00FD3420">
      <w:pPr>
        <w:pStyle w:val="Header"/>
        <w:widowControl w:val="0"/>
        <w:jc w:val="center"/>
        <w:rPr>
          <w:sz w:val="24"/>
          <w:szCs w:val="24"/>
        </w:rPr>
      </w:pPr>
      <w:r w:rsidRPr="00FD3420">
        <w:rPr>
          <w:b/>
          <w:bCs/>
          <w:sz w:val="24"/>
          <w:szCs w:val="24"/>
        </w:rPr>
        <w:t xml:space="preserve">Subpart </w:t>
      </w:r>
      <w:r>
        <w:rPr>
          <w:b/>
          <w:bCs/>
          <w:sz w:val="24"/>
          <w:szCs w:val="24"/>
        </w:rPr>
        <w:t>2</w:t>
      </w:r>
      <w:r w:rsidRPr="00FD3420">
        <w:rPr>
          <w:b/>
          <w:bCs/>
          <w:sz w:val="24"/>
          <w:szCs w:val="24"/>
        </w:rPr>
        <w:t>.</w:t>
      </w:r>
      <w:r>
        <w:rPr>
          <w:b/>
          <w:bCs/>
          <w:sz w:val="24"/>
          <w:szCs w:val="24"/>
        </w:rPr>
        <w:t xml:space="preserve">  The Louisiana Pollutant Discharge Elimination System (LPDES) Program</w:t>
      </w:r>
    </w:p>
    <w:p w:rsidR="00FD3420" w:rsidRDefault="00FD3420" w:rsidP="00FD3420">
      <w:pPr>
        <w:pStyle w:val="Chapter"/>
        <w:keepNext w:val="0"/>
        <w:keepLines w:val="0"/>
        <w:widowControl w:val="0"/>
        <w:ind w:left="0"/>
        <w:jc w:val="left"/>
      </w:pPr>
      <w:bookmarkStart w:id="2" w:name="TOC_Chap260"/>
      <w:bookmarkStart w:id="3" w:name="_Toc483475139"/>
      <w:bookmarkStart w:id="4" w:name="_Toc483475148"/>
      <w:bookmarkEnd w:id="0"/>
    </w:p>
    <w:p w:rsidR="00FD3420" w:rsidRDefault="00FD3420" w:rsidP="00C36955">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line="480" w:lineRule="auto"/>
        <w:ind w:left="0"/>
        <w:jc w:val="left"/>
      </w:pPr>
      <w:r>
        <w:t>Chapter 71.</w:t>
      </w:r>
      <w:bookmarkStart w:id="5" w:name="TOCT_Chap313"/>
      <w:bookmarkStart w:id="6" w:name="TOCT_Chap274"/>
      <w:bookmarkStart w:id="7" w:name="TOCT_Chap277"/>
      <w:bookmarkStart w:id="8" w:name="TOCT_Chap273"/>
      <w:bookmarkStart w:id="9" w:name="TOCT_Chap291"/>
      <w:bookmarkStart w:id="10" w:name="TOCT_Chap294"/>
      <w:bookmarkStart w:id="11" w:name="TOCT_Chap309"/>
      <w:bookmarkStart w:id="12" w:name="TOCT_Chap259"/>
      <w:bookmarkStart w:id="13" w:name="TOCT_Chap260"/>
      <w:bookmarkEnd w:id="2"/>
      <w:r>
        <w:tab/>
        <w:t>Appendices</w:t>
      </w:r>
      <w:bookmarkEnd w:id="3"/>
      <w:bookmarkEnd w:id="5"/>
      <w:bookmarkEnd w:id="6"/>
      <w:bookmarkEnd w:id="7"/>
      <w:bookmarkEnd w:id="8"/>
      <w:bookmarkEnd w:id="9"/>
      <w:bookmarkEnd w:id="10"/>
      <w:bookmarkEnd w:id="11"/>
      <w:bookmarkEnd w:id="12"/>
      <w:bookmarkEnd w:id="13"/>
    </w:p>
    <w:p w:rsidR="00282A59" w:rsidRPr="00FD3420" w:rsidRDefault="00282A59" w:rsidP="00C36955">
      <w:pPr>
        <w:pStyle w:val="Section"/>
        <w:keepNext w:val="0"/>
        <w:keepLines w:val="0"/>
        <w:widowControl w:val="0"/>
        <w:tabs>
          <w:tab w:val="clear" w:pos="720"/>
          <w:tab w:val="clear" w:pos="900"/>
          <w:tab w:val="left" w:pos="810"/>
        </w:tabs>
        <w:spacing w:line="480" w:lineRule="auto"/>
        <w:ind w:left="0" w:firstLine="0"/>
        <w:rPr>
          <w:bCs/>
          <w:sz w:val="24"/>
          <w:szCs w:val="24"/>
        </w:rPr>
      </w:pPr>
      <w:r w:rsidRPr="00FD3420">
        <w:rPr>
          <w:sz w:val="24"/>
          <w:szCs w:val="24"/>
        </w:rPr>
        <w:t>§7117.</w:t>
      </w:r>
      <w:r w:rsidRPr="00FD3420">
        <w:rPr>
          <w:sz w:val="24"/>
          <w:szCs w:val="24"/>
        </w:rPr>
        <w:tab/>
        <w:t xml:space="preserve">Appendix I―Parishes with Unincorporated Urbanized Areas </w:t>
      </w:r>
      <w:r w:rsidRPr="00FD3420">
        <w:rPr>
          <w:bCs/>
          <w:sz w:val="24"/>
          <w:szCs w:val="24"/>
        </w:rPr>
        <w:t>Greater than 100,000, But Less than 250,000</w:t>
      </w:r>
      <w:bookmarkEnd w:id="4"/>
      <w:r w:rsidRPr="00FD3420">
        <w:rPr>
          <w:bCs/>
          <w:sz w:val="24"/>
          <w:szCs w:val="24"/>
        </w:rPr>
        <w:fldChar w:fldCharType="begin"/>
      </w:r>
      <w:r w:rsidRPr="00FD3420">
        <w:rPr>
          <w:sz w:val="24"/>
          <w:szCs w:val="24"/>
        </w:rPr>
        <w:instrText xml:space="preserve"> XE "Appendix I―Parishes with Unincorporated Urbanized Areas Greater than 100,000, But Less than 250,000" </w:instrText>
      </w:r>
      <w:r w:rsidRPr="00FD3420">
        <w:rPr>
          <w:bCs/>
          <w:sz w:val="24"/>
          <w:szCs w:val="24"/>
        </w:rPr>
        <w:fldChar w:fldCharType="end"/>
      </w:r>
      <w:r w:rsidRPr="00FD3420">
        <w:rPr>
          <w:bCs/>
          <w:sz w:val="24"/>
          <w:szCs w:val="24"/>
        </w:rPr>
        <w:fldChar w:fldCharType="begin"/>
      </w:r>
      <w:r w:rsidRPr="00FD3420">
        <w:rPr>
          <w:sz w:val="24"/>
          <w:szCs w:val="24"/>
        </w:rPr>
        <w:instrText xml:space="preserve"> XE "Urbanized Areas Greater than 100,000, But Less than 250,000, Parishes with Unincorporated, Appendix I" </w:instrText>
      </w:r>
      <w:r w:rsidRPr="00FD3420">
        <w:rPr>
          <w:bCs/>
          <w:sz w:val="24"/>
          <w:szCs w:val="24"/>
        </w:rPr>
        <w:fldChar w:fldCharType="end"/>
      </w:r>
      <w:r w:rsidRPr="00FD3420">
        <w:rPr>
          <w:bCs/>
          <w:sz w:val="24"/>
          <w:szCs w:val="24"/>
        </w:rPr>
        <w:t xml:space="preserve"> </w:t>
      </w:r>
    </w:p>
    <w:p w:rsidR="00282A59" w:rsidRPr="00FD3420" w:rsidRDefault="00CF2685" w:rsidP="00CF268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t>A.</w:t>
      </w:r>
      <w:r>
        <w:rPr>
          <w:sz w:val="24"/>
          <w:szCs w:val="24"/>
        </w:rPr>
        <w:tab/>
      </w:r>
      <w:r w:rsidR="00282A59" w:rsidRPr="00FD3420">
        <w:rPr>
          <w:sz w:val="24"/>
          <w:szCs w:val="24"/>
        </w:rPr>
        <w:t>According to the Latest Decennial Census for the State of Louisiana by the Bureau of Census</w:t>
      </w:r>
    </w:p>
    <w:p w:rsidR="00282A59" w:rsidRPr="00CF2685" w:rsidRDefault="00282A59" w:rsidP="00C36955">
      <w:pPr>
        <w:pStyle w:val="Text"/>
        <w:spacing w:line="480" w:lineRule="auto"/>
        <w:rPr>
          <w:strike/>
          <w:sz w:val="24"/>
          <w:szCs w:val="24"/>
        </w:rPr>
      </w:pPr>
      <w:r w:rsidRPr="00FD3420">
        <w:rPr>
          <w:sz w:val="24"/>
          <w:szCs w:val="24"/>
        </w:rPr>
        <w:tab/>
      </w:r>
      <w:r w:rsidRPr="00CF2685">
        <w:rPr>
          <w:strike/>
          <w:sz w:val="24"/>
          <w:szCs w:val="24"/>
        </w:rPr>
        <w:t>Unincorporated Urbanized  Parish</w:t>
      </w:r>
      <w:r w:rsidRPr="00CF2685">
        <w:rPr>
          <w:strike/>
          <w:sz w:val="24"/>
          <w:szCs w:val="24"/>
        </w:rPr>
        <w:tab/>
      </w:r>
      <w:r w:rsidRPr="00CF2685">
        <w:rPr>
          <w:strike/>
          <w:sz w:val="24"/>
          <w:szCs w:val="24"/>
        </w:rPr>
        <w:tab/>
      </w:r>
      <w:r w:rsidRPr="00CF2685">
        <w:rPr>
          <w:strike/>
          <w:sz w:val="24"/>
          <w:szCs w:val="24"/>
        </w:rPr>
        <w:tab/>
        <w:t>Jefferson</w:t>
      </w:r>
      <w:r w:rsidRPr="00CF2685">
        <w:rPr>
          <w:strike/>
          <w:sz w:val="24"/>
          <w:szCs w:val="24"/>
        </w:rPr>
        <w:tab/>
      </w:r>
    </w:p>
    <w:p w:rsidR="00282A59" w:rsidRDefault="00282A59" w:rsidP="00CF2685">
      <w:pPr>
        <w:pStyle w:val="Text"/>
        <w:tabs>
          <w:tab w:val="clear" w:pos="0"/>
        </w:tabs>
        <w:spacing w:line="480" w:lineRule="auto"/>
        <w:ind w:left="180"/>
        <w:jc w:val="left"/>
        <w:rPr>
          <w:strike/>
          <w:sz w:val="24"/>
          <w:szCs w:val="24"/>
          <w:lang w:val="en-US"/>
        </w:rPr>
      </w:pPr>
      <w:r w:rsidRPr="00CF2685">
        <w:rPr>
          <w:strike/>
          <w:sz w:val="24"/>
          <w:szCs w:val="24"/>
        </w:rPr>
        <w:t>Population</w:t>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r>
      <w:r w:rsidRPr="00CF2685">
        <w:rPr>
          <w:strike/>
          <w:sz w:val="24"/>
          <w:szCs w:val="24"/>
        </w:rPr>
        <w:tab/>
        <w:t>140,836</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5"/>
        <w:gridCol w:w="4665"/>
      </w:tblGrid>
      <w:tr w:rsidR="00CF2685" w:rsidRPr="00CF2685" w:rsidTr="00CC3BEC">
        <w:trPr>
          <w:trHeight w:val="684"/>
        </w:trPr>
        <w:tc>
          <w:tcPr>
            <w:tcW w:w="5000" w:type="pct"/>
            <w:gridSpan w:val="2"/>
            <w:shd w:val="clear" w:color="auto" w:fill="D9D9D9" w:themeFill="background1" w:themeFillShade="D9"/>
          </w:tcPr>
          <w:p w:rsidR="00CF2685" w:rsidRPr="00CC3BEC" w:rsidRDefault="00CF2685" w:rsidP="00CF2685">
            <w:pPr>
              <w:pStyle w:val="Text"/>
              <w:spacing w:line="480" w:lineRule="auto"/>
              <w:ind w:firstLine="0"/>
              <w:jc w:val="center"/>
              <w:rPr>
                <w:b/>
                <w:sz w:val="24"/>
                <w:szCs w:val="24"/>
                <w:u w:val="single"/>
                <w:lang w:val="en-US"/>
              </w:rPr>
            </w:pPr>
            <w:r w:rsidRPr="00CC3BEC">
              <w:rPr>
                <w:b/>
                <w:sz w:val="24"/>
                <w:szCs w:val="24"/>
                <w:u w:val="single"/>
                <w:lang w:val="en-US"/>
              </w:rPr>
              <w:t>Table 1.</w:t>
            </w:r>
          </w:p>
        </w:tc>
      </w:tr>
      <w:tr w:rsidR="00CF2685" w:rsidRPr="00CF2685" w:rsidTr="00CC3BEC">
        <w:trPr>
          <w:trHeight w:val="684"/>
        </w:trPr>
        <w:tc>
          <w:tcPr>
            <w:tcW w:w="2500" w:type="pct"/>
            <w:tcBorders>
              <w:bottom w:val="double" w:sz="4" w:space="0" w:color="auto"/>
              <w:right w:val="single" w:sz="4" w:space="0" w:color="auto"/>
            </w:tcBorders>
            <w:shd w:val="clear" w:color="auto" w:fill="D9D9D9" w:themeFill="background1" w:themeFillShade="D9"/>
          </w:tcPr>
          <w:p w:rsidR="00CF2685" w:rsidRPr="00CC3BEC" w:rsidRDefault="00CF2685" w:rsidP="00CF2685">
            <w:pPr>
              <w:pStyle w:val="Text"/>
              <w:spacing w:line="480" w:lineRule="auto"/>
              <w:ind w:firstLine="0"/>
              <w:jc w:val="center"/>
              <w:rPr>
                <w:b/>
                <w:sz w:val="24"/>
                <w:szCs w:val="24"/>
                <w:u w:val="single"/>
                <w:lang w:val="en-US"/>
              </w:rPr>
            </w:pPr>
            <w:r w:rsidRPr="00CC3BEC">
              <w:rPr>
                <w:b/>
                <w:sz w:val="24"/>
                <w:szCs w:val="24"/>
                <w:u w:val="single"/>
                <w:lang w:val="en-US"/>
              </w:rPr>
              <w:t>Unincorporated Urbanized Parish</w:t>
            </w:r>
          </w:p>
        </w:tc>
        <w:tc>
          <w:tcPr>
            <w:tcW w:w="2500" w:type="pct"/>
            <w:tcBorders>
              <w:left w:val="single" w:sz="4" w:space="0" w:color="auto"/>
              <w:bottom w:val="double" w:sz="4" w:space="0" w:color="auto"/>
            </w:tcBorders>
            <w:shd w:val="clear" w:color="auto" w:fill="D9D9D9" w:themeFill="background1" w:themeFillShade="D9"/>
          </w:tcPr>
          <w:p w:rsidR="00CF2685" w:rsidRPr="00CC3BEC" w:rsidRDefault="00CF2685" w:rsidP="00CF2685">
            <w:pPr>
              <w:pStyle w:val="Text"/>
              <w:spacing w:line="480" w:lineRule="auto"/>
              <w:ind w:firstLine="0"/>
              <w:jc w:val="center"/>
              <w:rPr>
                <w:b/>
                <w:sz w:val="24"/>
                <w:szCs w:val="24"/>
                <w:u w:val="single"/>
                <w:lang w:val="en-US"/>
              </w:rPr>
            </w:pPr>
            <w:r w:rsidRPr="00CC3BEC">
              <w:rPr>
                <w:b/>
                <w:sz w:val="24"/>
                <w:szCs w:val="24"/>
                <w:u w:val="single"/>
                <w:lang w:val="en-US"/>
              </w:rPr>
              <w:t>Population</w:t>
            </w:r>
          </w:p>
        </w:tc>
      </w:tr>
      <w:tr w:rsidR="00CF2685" w:rsidRPr="00CF2685" w:rsidTr="00CC3BEC">
        <w:trPr>
          <w:trHeight w:val="684"/>
        </w:trPr>
        <w:tc>
          <w:tcPr>
            <w:tcW w:w="2500" w:type="pct"/>
            <w:tcBorders>
              <w:top w:val="double" w:sz="4" w:space="0" w:color="auto"/>
              <w:bottom w:val="single" w:sz="4" w:space="0" w:color="auto"/>
              <w:right w:val="single" w:sz="4" w:space="0" w:color="auto"/>
            </w:tcBorders>
          </w:tcPr>
          <w:p w:rsidR="00CF2685" w:rsidRPr="00CF2685" w:rsidRDefault="00CF2685" w:rsidP="006C39F2">
            <w:pPr>
              <w:pStyle w:val="Text"/>
              <w:spacing w:line="480" w:lineRule="auto"/>
              <w:ind w:firstLine="0"/>
              <w:jc w:val="center"/>
              <w:rPr>
                <w:sz w:val="24"/>
                <w:szCs w:val="24"/>
                <w:u w:val="single"/>
                <w:lang w:val="en-US"/>
              </w:rPr>
            </w:pPr>
            <w:r w:rsidRPr="00CF2685">
              <w:rPr>
                <w:sz w:val="24"/>
                <w:szCs w:val="24"/>
                <w:u w:val="single"/>
                <w:lang w:val="en-US"/>
              </w:rPr>
              <w:t>East Baton Rouge</w:t>
            </w:r>
          </w:p>
        </w:tc>
        <w:tc>
          <w:tcPr>
            <w:tcW w:w="2500" w:type="pct"/>
            <w:tcBorders>
              <w:top w:val="double" w:sz="4" w:space="0" w:color="auto"/>
              <w:left w:val="single" w:sz="4" w:space="0" w:color="auto"/>
              <w:bottom w:val="single" w:sz="4" w:space="0" w:color="auto"/>
            </w:tcBorders>
          </w:tcPr>
          <w:p w:rsidR="00CF2685" w:rsidRPr="00CF2685" w:rsidRDefault="00CF2685" w:rsidP="00CF2685">
            <w:pPr>
              <w:pStyle w:val="Text"/>
              <w:spacing w:line="480" w:lineRule="auto"/>
              <w:ind w:firstLine="0"/>
              <w:jc w:val="center"/>
              <w:rPr>
                <w:sz w:val="24"/>
                <w:szCs w:val="24"/>
                <w:u w:val="single"/>
                <w:lang w:val="en-US"/>
              </w:rPr>
            </w:pPr>
            <w:r w:rsidRPr="00CF2685">
              <w:rPr>
                <w:sz w:val="24"/>
                <w:szCs w:val="24"/>
                <w:u w:val="single"/>
                <w:lang w:val="en-US"/>
              </w:rPr>
              <w:t>102,539</w:t>
            </w:r>
          </w:p>
        </w:tc>
      </w:tr>
      <w:tr w:rsidR="00CF2685" w:rsidRPr="00CF2685" w:rsidTr="00CC3BEC">
        <w:trPr>
          <w:trHeight w:val="684"/>
        </w:trPr>
        <w:tc>
          <w:tcPr>
            <w:tcW w:w="2500" w:type="pct"/>
            <w:tcBorders>
              <w:top w:val="single" w:sz="4" w:space="0" w:color="auto"/>
              <w:right w:val="single" w:sz="4" w:space="0" w:color="auto"/>
            </w:tcBorders>
          </w:tcPr>
          <w:p w:rsidR="00CF2685" w:rsidRPr="00CF2685" w:rsidRDefault="00CF2685" w:rsidP="00CF2685">
            <w:pPr>
              <w:pStyle w:val="Text"/>
              <w:spacing w:line="480" w:lineRule="auto"/>
              <w:ind w:firstLine="0"/>
              <w:jc w:val="center"/>
              <w:rPr>
                <w:sz w:val="24"/>
                <w:szCs w:val="24"/>
                <w:u w:val="single"/>
                <w:lang w:val="en-US"/>
              </w:rPr>
            </w:pPr>
            <w:r w:rsidRPr="00CF2685">
              <w:rPr>
                <w:sz w:val="24"/>
                <w:szCs w:val="24"/>
                <w:u w:val="single"/>
                <w:lang w:val="en-US"/>
              </w:rPr>
              <w:t xml:space="preserve">Jefferson </w:t>
            </w:r>
          </w:p>
        </w:tc>
        <w:tc>
          <w:tcPr>
            <w:tcW w:w="2500" w:type="pct"/>
            <w:tcBorders>
              <w:top w:val="single" w:sz="4" w:space="0" w:color="auto"/>
              <w:left w:val="single" w:sz="4" w:space="0" w:color="auto"/>
            </w:tcBorders>
          </w:tcPr>
          <w:p w:rsidR="00CF2685" w:rsidRPr="00CF2685" w:rsidRDefault="00CF2685" w:rsidP="00CF2685">
            <w:pPr>
              <w:pStyle w:val="Text"/>
              <w:spacing w:line="480" w:lineRule="auto"/>
              <w:ind w:firstLine="0"/>
              <w:jc w:val="center"/>
              <w:rPr>
                <w:sz w:val="24"/>
                <w:szCs w:val="24"/>
                <w:u w:val="single"/>
                <w:lang w:val="en-US"/>
              </w:rPr>
            </w:pPr>
            <w:r w:rsidRPr="00CF2685">
              <w:rPr>
                <w:sz w:val="24"/>
                <w:szCs w:val="24"/>
                <w:u w:val="single"/>
                <w:lang w:val="en-US"/>
              </w:rPr>
              <w:t>140,836</w:t>
            </w:r>
          </w:p>
        </w:tc>
      </w:tr>
    </w:tbl>
    <w:p w:rsidR="00CF2685" w:rsidRDefault="00CF2685" w:rsidP="00CF2685">
      <w:pPr>
        <w:pStyle w:val="Text"/>
        <w:spacing w:after="0" w:line="240" w:lineRule="auto"/>
        <w:rPr>
          <w:sz w:val="24"/>
          <w:szCs w:val="24"/>
          <w:lang w:val="en-US"/>
        </w:rPr>
      </w:pPr>
    </w:p>
    <w:p w:rsidR="00282A59" w:rsidRPr="00FD3420" w:rsidRDefault="00282A59" w:rsidP="00CF2685">
      <w:pPr>
        <w:pStyle w:val="Text"/>
        <w:spacing w:after="0" w:line="240" w:lineRule="auto"/>
        <w:rPr>
          <w:sz w:val="24"/>
          <w:szCs w:val="24"/>
        </w:rPr>
      </w:pPr>
      <w:r w:rsidRPr="00FD3420">
        <w:rPr>
          <w:sz w:val="24"/>
          <w:szCs w:val="24"/>
        </w:rPr>
        <w:t>AUTHORITY NOTE:</w:t>
      </w:r>
      <w:r w:rsidRPr="00FD3420">
        <w:rPr>
          <w:sz w:val="24"/>
          <w:szCs w:val="24"/>
        </w:rPr>
        <w:tab/>
        <w:t>Promulgated in accordance with R.S. 30:2001 et seq., and in particular Section 2074(B)(3) and (B)(4).</w:t>
      </w:r>
    </w:p>
    <w:p w:rsidR="00282A59" w:rsidRPr="00FD3420" w:rsidRDefault="00282A59" w:rsidP="00282A59">
      <w:pPr>
        <w:pStyle w:val="HistoricalNote"/>
        <w:rPr>
          <w:sz w:val="24"/>
          <w:szCs w:val="24"/>
        </w:rPr>
      </w:pPr>
      <w:r w:rsidRPr="00FD3420">
        <w:rPr>
          <w:sz w:val="24"/>
          <w:szCs w:val="24"/>
        </w:rPr>
        <w:t>HISTORICAL NOTE:</w:t>
      </w:r>
      <w:r w:rsidRPr="00FD3420">
        <w:rPr>
          <w:sz w:val="24"/>
          <w:szCs w:val="24"/>
        </w:rPr>
        <w:tab/>
        <w:t>Promulgated by the Department of Environmental Quality, Office of Water Resources, LR 21:945 (September 1995), repromulgated by the Office of Environmental Assessment, Environmental Planning Divisi</w:t>
      </w:r>
      <w:r w:rsidR="00FD3420" w:rsidRPr="00FD3420">
        <w:rPr>
          <w:sz w:val="24"/>
          <w:szCs w:val="24"/>
        </w:rPr>
        <w:t>on, LR 30:233 (February 2004), amended by the Office of the Secretary, Legal Affairs and Criminal Investigations Division, LR 45:</w:t>
      </w:r>
    </w:p>
    <w:p w:rsidR="00841626" w:rsidRPr="00FD3420" w:rsidRDefault="00841626">
      <w:pPr>
        <w:rPr>
          <w:szCs w:val="24"/>
        </w:rPr>
      </w:pPr>
    </w:p>
    <w:sectPr w:rsidR="00841626" w:rsidRPr="00FD3420" w:rsidSect="008416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7E" w:rsidRDefault="00C3057E" w:rsidP="001151E5">
      <w:r>
        <w:separator/>
      </w:r>
    </w:p>
  </w:endnote>
  <w:endnote w:type="continuationSeparator" w:id="0">
    <w:p w:rsidR="00C3057E" w:rsidRDefault="00C3057E" w:rsidP="001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7E" w:rsidRDefault="00C3057E" w:rsidP="001151E5">
      <w:r>
        <w:separator/>
      </w:r>
    </w:p>
  </w:footnote>
  <w:footnote w:type="continuationSeparator" w:id="0">
    <w:p w:rsidR="00C3057E" w:rsidRDefault="00C3057E" w:rsidP="0011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E5" w:rsidRDefault="004B6D36">
    <w:pPr>
      <w:pStyle w:val="Header"/>
    </w:pPr>
    <w:r>
      <w:rPr>
        <w:sz w:val="24"/>
        <w:szCs w:val="24"/>
      </w:rPr>
      <w:t>FINAL</w:t>
    </w:r>
    <w:r w:rsidR="00E91B39" w:rsidRPr="00E91B39">
      <w:rPr>
        <w:sz w:val="24"/>
        <w:szCs w:val="24"/>
      </w:rPr>
      <w:t xml:space="preserve"> RULE </w:t>
    </w:r>
    <w:r w:rsidR="00282A59">
      <w:rPr>
        <w:sz w:val="24"/>
        <w:szCs w:val="24"/>
      </w:rPr>
      <w:t>/</w:t>
    </w:r>
    <w:r>
      <w:rPr>
        <w:sz w:val="24"/>
        <w:szCs w:val="24"/>
      </w:rPr>
      <w:t>October</w:t>
    </w:r>
    <w:r w:rsidR="00FD3420">
      <w:rPr>
        <w:sz w:val="24"/>
        <w:szCs w:val="24"/>
      </w:rPr>
      <w:t xml:space="preserve"> 20</w:t>
    </w:r>
    <w:r w:rsidR="00282A59">
      <w:rPr>
        <w:sz w:val="24"/>
        <w:szCs w:val="24"/>
      </w:rPr>
      <w:t>, 2018</w:t>
    </w:r>
    <w:r w:rsidR="001151E5">
      <w:tab/>
    </w:r>
    <w:r w:rsidR="001151E5">
      <w:tab/>
    </w:r>
    <w:r w:rsidR="00FD3420" w:rsidRPr="00FD3420">
      <w:rPr>
        <w:sz w:val="24"/>
        <w:szCs w:val="24"/>
      </w:rPr>
      <w:t>W</w:t>
    </w:r>
    <w:r w:rsidR="00282A59" w:rsidRPr="00FD3420">
      <w:rPr>
        <w:sz w:val="24"/>
        <w:szCs w:val="24"/>
      </w:rPr>
      <w:t>Q098</w:t>
    </w:r>
    <w:r w:rsidR="00E91B39" w:rsidRPr="00FD3420">
      <w:rPr>
        <w:sz w:val="24"/>
        <w:szCs w:val="24"/>
      </w:rPr>
      <w:t>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0A8"/>
    <w:multiLevelType w:val="hybridMultilevel"/>
    <w:tmpl w:val="914C8968"/>
    <w:lvl w:ilvl="0" w:tplc="B04CCDD8">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3FB740A"/>
    <w:multiLevelType w:val="hybridMultilevel"/>
    <w:tmpl w:val="7F4C226C"/>
    <w:lvl w:ilvl="0" w:tplc="04090015">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 w15:restartNumberingAfterBreak="0">
    <w:nsid w:val="4484374B"/>
    <w:multiLevelType w:val="hybridMultilevel"/>
    <w:tmpl w:val="10A4D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C6B90"/>
    <w:multiLevelType w:val="hybridMultilevel"/>
    <w:tmpl w:val="1500FDEC"/>
    <w:lvl w:ilvl="0" w:tplc="2D82473C">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C0"/>
    <w:rsid w:val="00023269"/>
    <w:rsid w:val="00051192"/>
    <w:rsid w:val="00052C89"/>
    <w:rsid w:val="000847FB"/>
    <w:rsid w:val="000C2CB8"/>
    <w:rsid w:val="000E6F77"/>
    <w:rsid w:val="001151E5"/>
    <w:rsid w:val="00190B8B"/>
    <w:rsid w:val="00261243"/>
    <w:rsid w:val="00276725"/>
    <w:rsid w:val="00282A59"/>
    <w:rsid w:val="002E3816"/>
    <w:rsid w:val="003E05C4"/>
    <w:rsid w:val="004532FD"/>
    <w:rsid w:val="004738AD"/>
    <w:rsid w:val="004B6D36"/>
    <w:rsid w:val="005B46A6"/>
    <w:rsid w:val="005C2902"/>
    <w:rsid w:val="005C4A7F"/>
    <w:rsid w:val="00687141"/>
    <w:rsid w:val="006C39F2"/>
    <w:rsid w:val="006C3B98"/>
    <w:rsid w:val="006E2424"/>
    <w:rsid w:val="00717834"/>
    <w:rsid w:val="00765EC0"/>
    <w:rsid w:val="00792BD3"/>
    <w:rsid w:val="00840C4F"/>
    <w:rsid w:val="00841626"/>
    <w:rsid w:val="00867ACA"/>
    <w:rsid w:val="00952B0B"/>
    <w:rsid w:val="00966570"/>
    <w:rsid w:val="00A03AA9"/>
    <w:rsid w:val="00A8297A"/>
    <w:rsid w:val="00B575BC"/>
    <w:rsid w:val="00BF67B6"/>
    <w:rsid w:val="00C20092"/>
    <w:rsid w:val="00C3057E"/>
    <w:rsid w:val="00C36955"/>
    <w:rsid w:val="00CC3BEC"/>
    <w:rsid w:val="00CF2685"/>
    <w:rsid w:val="00DE2AE2"/>
    <w:rsid w:val="00E91B39"/>
    <w:rsid w:val="00EC7037"/>
    <w:rsid w:val="00FD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EE1C66"/>
  <w15:docId w15:val="{A6DAD7F0-CE9D-49E8-8D23-21B9BDD2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C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rsid w:val="00765EC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65EC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A">
    <w:name w:val="A."/>
    <w:basedOn w:val="Normal"/>
    <w:link w:val="AChar"/>
    <w:rsid w:val="00765EC0"/>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paragraph" w:customStyle="1" w:styleId="AuthorityNote">
    <w:name w:val="Authority Note"/>
    <w:basedOn w:val="Normal"/>
    <w:link w:val="AuthorityNoteChar"/>
    <w:rsid w:val="00765E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765E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basedOn w:val="DefaultParagraphFont"/>
    <w:link w:val="HistoricalNote"/>
    <w:rsid w:val="00765EC0"/>
    <w:rPr>
      <w:rFonts w:ascii="Times New Roman" w:eastAsia="Times New Roman" w:hAnsi="Times New Roman" w:cs="Times New Roman"/>
      <w:kern w:val="2"/>
      <w:sz w:val="18"/>
      <w:szCs w:val="20"/>
    </w:rPr>
  </w:style>
  <w:style w:type="paragraph" w:customStyle="1" w:styleId="TOCPart">
    <w:name w:val="TOCPart"/>
    <w:rsid w:val="00765EC0"/>
    <w:pPr>
      <w:keepNext/>
      <w:keepLines/>
      <w:spacing w:before="240" w:after="240" w:line="240" w:lineRule="auto"/>
      <w:jc w:val="center"/>
    </w:pPr>
    <w:rPr>
      <w:rFonts w:ascii="Times New Roman" w:eastAsia="Times New Roman" w:hAnsi="Times New Roman" w:cs="Times New Roman"/>
      <w:b/>
      <w:noProof/>
      <w:sz w:val="28"/>
      <w:szCs w:val="20"/>
    </w:rPr>
  </w:style>
  <w:style w:type="paragraph" w:styleId="Header">
    <w:name w:val="header"/>
    <w:basedOn w:val="Normal"/>
    <w:link w:val="HeaderChar"/>
    <w:uiPriority w:val="99"/>
    <w:rsid w:val="00765EC0"/>
    <w:pPr>
      <w:tabs>
        <w:tab w:val="center" w:pos="4320"/>
        <w:tab w:val="right" w:pos="8640"/>
      </w:tabs>
    </w:pPr>
    <w:rPr>
      <w:sz w:val="20"/>
    </w:rPr>
  </w:style>
  <w:style w:type="character" w:customStyle="1" w:styleId="HeaderChar">
    <w:name w:val="Header Char"/>
    <w:basedOn w:val="DefaultParagraphFont"/>
    <w:link w:val="Header"/>
    <w:uiPriority w:val="99"/>
    <w:rsid w:val="00765EC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151E5"/>
    <w:pPr>
      <w:tabs>
        <w:tab w:val="center" w:pos="4680"/>
        <w:tab w:val="right" w:pos="9360"/>
      </w:tabs>
    </w:pPr>
  </w:style>
  <w:style w:type="character" w:customStyle="1" w:styleId="FooterChar">
    <w:name w:val="Footer Char"/>
    <w:basedOn w:val="DefaultParagraphFont"/>
    <w:link w:val="Footer"/>
    <w:uiPriority w:val="99"/>
    <w:rsid w:val="001151E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151E5"/>
    <w:rPr>
      <w:rFonts w:ascii="Tahoma" w:hAnsi="Tahoma" w:cs="Tahoma"/>
      <w:sz w:val="16"/>
      <w:szCs w:val="16"/>
    </w:rPr>
  </w:style>
  <w:style w:type="character" w:customStyle="1" w:styleId="BalloonTextChar">
    <w:name w:val="Balloon Text Char"/>
    <w:basedOn w:val="DefaultParagraphFont"/>
    <w:link w:val="BalloonText"/>
    <w:uiPriority w:val="99"/>
    <w:semiHidden/>
    <w:rsid w:val="001151E5"/>
    <w:rPr>
      <w:rFonts w:ascii="Tahoma" w:eastAsia="Times New Roman" w:hAnsi="Tahoma" w:cs="Tahoma"/>
      <w:sz w:val="16"/>
      <w:szCs w:val="16"/>
    </w:rPr>
  </w:style>
  <w:style w:type="paragraph" w:customStyle="1" w:styleId="Text">
    <w:name w:val="Text"/>
    <w:basedOn w:val="Normal"/>
    <w:link w:val="TextChar"/>
    <w:rsid w:val="00282A5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lang w:val="x-none" w:eastAsia="x-none"/>
    </w:rPr>
  </w:style>
  <w:style w:type="character" w:customStyle="1" w:styleId="AChar">
    <w:name w:val="A. Char"/>
    <w:link w:val="A"/>
    <w:rsid w:val="00282A59"/>
    <w:rPr>
      <w:rFonts w:ascii="Times New Roman" w:eastAsia="Times New Roman" w:hAnsi="Times New Roman" w:cs="Times New Roman"/>
      <w:kern w:val="2"/>
      <w:sz w:val="20"/>
      <w:szCs w:val="20"/>
    </w:rPr>
  </w:style>
  <w:style w:type="character" w:customStyle="1" w:styleId="SectionChar">
    <w:name w:val="Section Char"/>
    <w:link w:val="Section"/>
    <w:locked/>
    <w:rsid w:val="00282A59"/>
    <w:rPr>
      <w:rFonts w:ascii="Times New Roman" w:eastAsia="Times New Roman" w:hAnsi="Times New Roman" w:cs="Times New Roman"/>
      <w:b/>
      <w:kern w:val="2"/>
      <w:sz w:val="20"/>
      <w:szCs w:val="20"/>
    </w:rPr>
  </w:style>
  <w:style w:type="character" w:customStyle="1" w:styleId="TextChar">
    <w:name w:val="Text Char"/>
    <w:link w:val="Text"/>
    <w:locked/>
    <w:rsid w:val="00282A59"/>
    <w:rPr>
      <w:rFonts w:ascii="Times New Roman" w:eastAsia="Times New Roman" w:hAnsi="Times New Roman" w:cs="Times New Roman"/>
      <w:kern w:val="2"/>
      <w:sz w:val="20"/>
      <w:szCs w:val="20"/>
      <w:lang w:val="x-none" w:eastAsia="x-none"/>
    </w:rPr>
  </w:style>
  <w:style w:type="character" w:customStyle="1" w:styleId="AuthorityNoteChar">
    <w:name w:val="Authority Note Char"/>
    <w:link w:val="AuthorityNote"/>
    <w:locked/>
    <w:rsid w:val="00282A59"/>
    <w:rPr>
      <w:rFonts w:ascii="Times New Roman" w:eastAsia="Times New Roman" w:hAnsi="Times New Roman" w:cs="Times New Roman"/>
      <w:kern w:val="2"/>
      <w:sz w:val="18"/>
      <w:szCs w:val="20"/>
    </w:rPr>
  </w:style>
  <w:style w:type="character" w:customStyle="1" w:styleId="ChapterChar">
    <w:name w:val="Chapter Char"/>
    <w:link w:val="Chapter"/>
    <w:rsid w:val="00FD3420"/>
    <w:rPr>
      <w:rFonts w:ascii="Times New Roman" w:eastAsia="Times New Roman" w:hAnsi="Times New Roman" w:cs="Times New Roman"/>
      <w:b/>
      <w:kern w:val="2"/>
      <w:sz w:val="28"/>
      <w:szCs w:val="20"/>
    </w:rPr>
  </w:style>
  <w:style w:type="table" w:styleId="TableGrid">
    <w:name w:val="Table Grid"/>
    <w:basedOn w:val="TableNormal"/>
    <w:uiPriority w:val="59"/>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q.louisiana.gov/portal/tabid/1669/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LDEQ</dc:creator>
  <cp:lastModifiedBy>Laura Almond</cp:lastModifiedBy>
  <cp:revision>3</cp:revision>
  <cp:lastPrinted>2018-06-05T19:02:00Z</cp:lastPrinted>
  <dcterms:created xsi:type="dcterms:W3CDTF">2018-10-10T14:57:00Z</dcterms:created>
  <dcterms:modified xsi:type="dcterms:W3CDTF">2018-10-10T14:58:00Z</dcterms:modified>
</cp:coreProperties>
</file>