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2F" w:rsidRPr="00FF2F0C" w:rsidRDefault="001A572F" w:rsidP="00CD344F">
      <w:pPr>
        <w:pStyle w:val="Title1"/>
        <w:spacing w:after="0"/>
        <w:rPr>
          <w:sz w:val="24"/>
          <w:szCs w:val="24"/>
        </w:rPr>
      </w:pPr>
      <w:bookmarkStart w:id="0" w:name="_GoBack"/>
      <w:bookmarkEnd w:id="0"/>
      <w:r w:rsidRPr="00FF2F0C">
        <w:rPr>
          <w:sz w:val="24"/>
          <w:szCs w:val="24"/>
        </w:rPr>
        <w:t>Title 33</w:t>
      </w:r>
    </w:p>
    <w:p w:rsidR="001A572F" w:rsidRPr="00FF2F0C" w:rsidRDefault="001A572F" w:rsidP="00CD344F">
      <w:pPr>
        <w:pStyle w:val="Part"/>
        <w:spacing w:after="0"/>
        <w:rPr>
          <w:sz w:val="24"/>
          <w:szCs w:val="24"/>
        </w:rPr>
      </w:pPr>
      <w:bookmarkStart w:id="1" w:name="TitleName"/>
      <w:bookmarkStart w:id="2" w:name="PlaceKeeper"/>
      <w:r w:rsidRPr="00FF2F0C">
        <w:rPr>
          <w:sz w:val="24"/>
          <w:szCs w:val="24"/>
        </w:rPr>
        <w:t>ENVIRONMENTAL QUALITY</w:t>
      </w:r>
      <w:bookmarkEnd w:id="1"/>
      <w:bookmarkEnd w:id="2"/>
    </w:p>
    <w:p w:rsidR="001A572F" w:rsidRPr="00FF2F0C" w:rsidRDefault="001A572F" w:rsidP="00CD344F">
      <w:pPr>
        <w:pStyle w:val="Part"/>
        <w:spacing w:after="0"/>
        <w:rPr>
          <w:sz w:val="24"/>
          <w:szCs w:val="24"/>
        </w:rPr>
      </w:pPr>
      <w:bookmarkStart w:id="3" w:name="TOC_Part0"/>
      <w:r w:rsidRPr="00FF2F0C">
        <w:rPr>
          <w:sz w:val="24"/>
          <w:szCs w:val="24"/>
        </w:rPr>
        <w:t>Part VII.  Solid Waste</w:t>
      </w:r>
      <w:bookmarkEnd w:id="3"/>
    </w:p>
    <w:p w:rsidR="001A572F" w:rsidRPr="00FF2F0C" w:rsidRDefault="001A572F" w:rsidP="00CD344F">
      <w:pPr>
        <w:pStyle w:val="Part"/>
        <w:spacing w:after="0"/>
        <w:rPr>
          <w:sz w:val="24"/>
          <w:szCs w:val="24"/>
        </w:rPr>
      </w:pPr>
      <w:bookmarkStart w:id="4" w:name="TOC_SubP1"/>
      <w:r w:rsidRPr="00FF2F0C">
        <w:rPr>
          <w:sz w:val="24"/>
          <w:szCs w:val="24"/>
        </w:rPr>
        <w:t xml:space="preserve">Subpart </w:t>
      </w:r>
      <w:r w:rsidR="002519E7" w:rsidRPr="00FF2F0C">
        <w:rPr>
          <w:sz w:val="24"/>
          <w:szCs w:val="24"/>
        </w:rPr>
        <w:t>2</w:t>
      </w:r>
      <w:r w:rsidRPr="00FF2F0C">
        <w:rPr>
          <w:sz w:val="24"/>
          <w:szCs w:val="24"/>
        </w:rPr>
        <w:t xml:space="preserve">.  </w:t>
      </w:r>
      <w:r w:rsidR="002519E7" w:rsidRPr="00FF2F0C">
        <w:rPr>
          <w:sz w:val="24"/>
          <w:szCs w:val="24"/>
        </w:rPr>
        <w:t>Recycling</w:t>
      </w:r>
      <w:bookmarkEnd w:id="4"/>
    </w:p>
    <w:p w:rsidR="00CD344F" w:rsidRPr="00FF2F0C" w:rsidRDefault="00CD344F" w:rsidP="00CD344F">
      <w:pPr>
        <w:pStyle w:val="Part"/>
        <w:spacing w:after="0"/>
        <w:rPr>
          <w:sz w:val="24"/>
          <w:szCs w:val="24"/>
        </w:rPr>
      </w:pPr>
    </w:p>
    <w:p w:rsidR="000E3A73" w:rsidRPr="00FF2F0C" w:rsidRDefault="000E3A73" w:rsidP="00A442C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530"/>
        </w:tabs>
        <w:ind w:left="0"/>
        <w:jc w:val="left"/>
        <w:rPr>
          <w:sz w:val="24"/>
          <w:szCs w:val="24"/>
        </w:rPr>
      </w:pPr>
      <w:bookmarkStart w:id="5" w:name="TOC_Chap4"/>
      <w:bookmarkStart w:id="6" w:name="TOC_Chap13"/>
      <w:r w:rsidRPr="00FF2F0C">
        <w:rPr>
          <w:sz w:val="24"/>
          <w:szCs w:val="24"/>
        </w:rPr>
        <w:t>Chapter 1</w:t>
      </w:r>
      <w:r w:rsidR="002519E7" w:rsidRPr="00FF2F0C">
        <w:rPr>
          <w:sz w:val="24"/>
          <w:szCs w:val="24"/>
        </w:rPr>
        <w:t>04</w:t>
      </w:r>
      <w:r w:rsidRPr="00FF2F0C">
        <w:rPr>
          <w:sz w:val="24"/>
          <w:szCs w:val="24"/>
        </w:rPr>
        <w:t>.</w:t>
      </w:r>
      <w:bookmarkStart w:id="7" w:name="TOCT_Chap4"/>
      <w:bookmarkEnd w:id="5"/>
      <w:r w:rsidR="00DA480A" w:rsidRPr="00FF2F0C">
        <w:rPr>
          <w:sz w:val="24"/>
          <w:szCs w:val="24"/>
        </w:rPr>
        <w:tab/>
      </w:r>
      <w:r w:rsidR="002519E7" w:rsidRPr="00FF2F0C">
        <w:rPr>
          <w:sz w:val="24"/>
          <w:szCs w:val="24"/>
        </w:rPr>
        <w:t>Credit for New Recycling Manufacturing or Process Equipment and/or Service Contracts</w:t>
      </w:r>
      <w:bookmarkEnd w:id="7"/>
    </w:p>
    <w:p w:rsidR="00230468" w:rsidRPr="00FF2F0C" w:rsidRDefault="00576A4D" w:rsidP="00D51DA9">
      <w:pPr>
        <w:pStyle w:val="A1"/>
        <w:tabs>
          <w:tab w:val="clear" w:pos="187"/>
          <w:tab w:val="clear" w:pos="540"/>
          <w:tab w:val="clear" w:pos="4500"/>
          <w:tab w:val="clear" w:pos="4680"/>
          <w:tab w:val="clear" w:pos="4860"/>
          <w:tab w:val="clear" w:pos="5040"/>
          <w:tab w:val="clear" w:pos="7200"/>
          <w:tab w:val="left" w:pos="990"/>
        </w:tabs>
        <w:spacing w:after="0" w:line="480" w:lineRule="auto"/>
        <w:ind w:firstLine="0"/>
        <w:rPr>
          <w:b/>
          <w:sz w:val="24"/>
          <w:szCs w:val="24"/>
        </w:rPr>
      </w:pPr>
      <w:r w:rsidRPr="00FF2F0C">
        <w:rPr>
          <w:b/>
          <w:sz w:val="24"/>
          <w:szCs w:val="24"/>
        </w:rPr>
        <w:t>§10415.</w:t>
      </w:r>
      <w:r w:rsidRPr="00FF2F0C">
        <w:rPr>
          <w:b/>
          <w:sz w:val="24"/>
          <w:szCs w:val="24"/>
        </w:rPr>
        <w:tab/>
        <w:t>Amount of Credit</w:t>
      </w:r>
    </w:p>
    <w:p w:rsidR="00AC7896" w:rsidRPr="00FF2F0C" w:rsidRDefault="00230468" w:rsidP="00230468">
      <w:pPr>
        <w:pStyle w:val="A1"/>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sidRPr="00FF2F0C">
        <w:rPr>
          <w:sz w:val="24"/>
          <w:szCs w:val="24"/>
        </w:rPr>
        <w:tab/>
        <w:t>A.</w:t>
      </w:r>
      <w:r w:rsidRPr="00FF2F0C">
        <w:rPr>
          <w:sz w:val="24"/>
          <w:szCs w:val="24"/>
        </w:rPr>
        <w:tab/>
      </w:r>
      <w:r w:rsidR="00AC7896" w:rsidRPr="00FF2F0C">
        <w:rPr>
          <w:sz w:val="24"/>
          <w:szCs w:val="24"/>
        </w:rPr>
        <w:t xml:space="preserve">The maximum total credit related to a purchase of qualified new recycling manufacturing or process equipment and/or a qualified service contract that may be allowable for all taxable periods is </w:t>
      </w:r>
      <w:r w:rsidR="00AC7896" w:rsidRPr="00FF2F0C">
        <w:rPr>
          <w:strike/>
          <w:sz w:val="24"/>
          <w:szCs w:val="24"/>
        </w:rPr>
        <w:t>20</w:t>
      </w:r>
      <w:r w:rsidR="00576A4D" w:rsidRPr="00FF2F0C">
        <w:rPr>
          <w:sz w:val="24"/>
          <w:szCs w:val="24"/>
          <w:u w:val="single"/>
        </w:rPr>
        <w:t>14</w:t>
      </w:r>
      <w:r w:rsidR="00AC7896" w:rsidRPr="00FF2F0C">
        <w:rPr>
          <w:sz w:val="24"/>
          <w:szCs w:val="24"/>
        </w:rPr>
        <w:t xml:space="preserve"> percent of the cost of the qualified recycling equipment or qualified service contract, less the amount of any other Louisiana tax credits for the purchase of the equipment or the cost of the service contract. The total tax credits allowed under this Chapter shall be limited to five million dollars per tax year. Example:</w:t>
      </w:r>
    </w:p>
    <w:tbl>
      <w:tblPr>
        <w:tblW w:w="0" w:type="auto"/>
        <w:jc w:val="center"/>
        <w:tblLayout w:type="fixed"/>
        <w:tblCellMar>
          <w:left w:w="153" w:type="dxa"/>
          <w:right w:w="153" w:type="dxa"/>
        </w:tblCellMar>
        <w:tblLook w:val="0000" w:firstRow="0" w:lastRow="0" w:firstColumn="0" w:lastColumn="0" w:noHBand="0" w:noVBand="0"/>
      </w:tblPr>
      <w:tblGrid>
        <w:gridCol w:w="4149"/>
        <w:gridCol w:w="2781"/>
      </w:tblGrid>
      <w:tr w:rsidR="00230468" w:rsidRPr="00FF2F0C" w:rsidTr="00CD5666">
        <w:trPr>
          <w:cantSplit/>
          <w:trHeight w:val="198"/>
          <w:jc w:val="center"/>
        </w:trPr>
        <w:tc>
          <w:tcPr>
            <w:tcW w:w="4149" w:type="dxa"/>
            <w:tcBorders>
              <w:top w:val="double" w:sz="7" w:space="0" w:color="000000"/>
              <w:left w:val="double" w:sz="7" w:space="0" w:color="000000"/>
              <w:bottom w:val="single" w:sz="6" w:space="0" w:color="FFFFFF"/>
              <w:right w:val="single" w:sz="6" w:space="0" w:color="FFFFFF"/>
            </w:tcBorders>
            <w:vAlign w:val="center"/>
          </w:tcPr>
          <w:p w:rsidR="00230468" w:rsidRPr="00FF2F0C" w:rsidRDefault="00230468" w:rsidP="009F6176">
            <w:pPr>
              <w:keepNext/>
              <w:spacing w:line="480" w:lineRule="auto"/>
              <w:rPr>
                <w:kern w:val="2"/>
              </w:rPr>
            </w:pPr>
            <w:r w:rsidRPr="00FF2F0C">
              <w:rPr>
                <w:kern w:val="2"/>
              </w:rPr>
              <w:t>Cost of equipment</w:t>
            </w:r>
          </w:p>
        </w:tc>
        <w:tc>
          <w:tcPr>
            <w:tcW w:w="2781" w:type="dxa"/>
            <w:tcBorders>
              <w:top w:val="double" w:sz="7" w:space="0" w:color="000000"/>
              <w:left w:val="single" w:sz="7" w:space="0" w:color="000000"/>
              <w:bottom w:val="single" w:sz="6" w:space="0" w:color="FFFFFF"/>
              <w:right w:val="double" w:sz="7" w:space="0" w:color="000000"/>
            </w:tcBorders>
            <w:vAlign w:val="center"/>
          </w:tcPr>
          <w:p w:rsidR="00230468" w:rsidRPr="00FF2F0C" w:rsidRDefault="00230468" w:rsidP="009F6176">
            <w:pPr>
              <w:keepNext/>
              <w:spacing w:line="480" w:lineRule="auto"/>
              <w:rPr>
                <w:kern w:val="2"/>
              </w:rPr>
            </w:pPr>
            <w:r w:rsidRPr="00FF2F0C">
              <w:rPr>
                <w:kern w:val="2"/>
              </w:rPr>
              <w:t>$1,000,000</w:t>
            </w:r>
          </w:p>
        </w:tc>
      </w:tr>
      <w:tr w:rsidR="00230468" w:rsidRPr="00FF2F0C" w:rsidTr="00CD5666">
        <w:trPr>
          <w:cantSplit/>
          <w:trHeight w:val="215"/>
          <w:jc w:val="center"/>
        </w:trPr>
        <w:tc>
          <w:tcPr>
            <w:tcW w:w="4149" w:type="dxa"/>
            <w:tcBorders>
              <w:top w:val="single" w:sz="7" w:space="0" w:color="000000"/>
              <w:left w:val="double" w:sz="7" w:space="0" w:color="000000"/>
              <w:bottom w:val="single" w:sz="6" w:space="0" w:color="FFFFFF"/>
              <w:right w:val="single" w:sz="6" w:space="0" w:color="FFFFFF"/>
            </w:tcBorders>
            <w:vAlign w:val="center"/>
          </w:tcPr>
          <w:p w:rsidR="00230468" w:rsidRPr="00FF2F0C" w:rsidRDefault="00230468" w:rsidP="009F6176">
            <w:pPr>
              <w:keepNext/>
              <w:spacing w:line="480" w:lineRule="auto"/>
              <w:rPr>
                <w:kern w:val="2"/>
              </w:rPr>
            </w:pPr>
          </w:p>
        </w:tc>
        <w:tc>
          <w:tcPr>
            <w:tcW w:w="2781" w:type="dxa"/>
            <w:tcBorders>
              <w:top w:val="single" w:sz="7" w:space="0" w:color="000000"/>
              <w:left w:val="single" w:sz="7" w:space="0" w:color="000000"/>
              <w:bottom w:val="single" w:sz="6" w:space="0" w:color="FFFFFF"/>
              <w:right w:val="double" w:sz="7" w:space="0" w:color="000000"/>
            </w:tcBorders>
            <w:vAlign w:val="center"/>
          </w:tcPr>
          <w:p w:rsidR="00230468" w:rsidRPr="00FF2F0C" w:rsidRDefault="00230468" w:rsidP="009F6176">
            <w:pPr>
              <w:keepNext/>
              <w:spacing w:line="480" w:lineRule="auto"/>
              <w:rPr>
                <w:kern w:val="2"/>
                <w:u w:val="single"/>
              </w:rPr>
            </w:pPr>
            <w:r w:rsidRPr="00FF2F0C">
              <w:rPr>
                <w:kern w:val="2"/>
              </w:rPr>
              <w:t xml:space="preserve">X      </w:t>
            </w:r>
            <w:r w:rsidRPr="00FF2F0C">
              <w:rPr>
                <w:strike/>
                <w:kern w:val="2"/>
              </w:rPr>
              <w:t>.20</w:t>
            </w:r>
            <w:r w:rsidRPr="00FF2F0C">
              <w:rPr>
                <w:kern w:val="2"/>
                <w:u w:val="single"/>
              </w:rPr>
              <w:t>.14</w:t>
            </w:r>
          </w:p>
        </w:tc>
      </w:tr>
      <w:tr w:rsidR="00230468" w:rsidRPr="00FF2F0C" w:rsidTr="00CD5666">
        <w:trPr>
          <w:cantSplit/>
          <w:trHeight w:val="215"/>
          <w:jc w:val="center"/>
        </w:trPr>
        <w:tc>
          <w:tcPr>
            <w:tcW w:w="4149" w:type="dxa"/>
            <w:tcBorders>
              <w:top w:val="single" w:sz="7" w:space="0" w:color="000000"/>
              <w:left w:val="double" w:sz="7" w:space="0" w:color="000000"/>
              <w:bottom w:val="single" w:sz="6" w:space="0" w:color="FFFFFF"/>
              <w:right w:val="single" w:sz="6" w:space="0" w:color="FFFFFF"/>
            </w:tcBorders>
            <w:vAlign w:val="center"/>
          </w:tcPr>
          <w:p w:rsidR="00230468" w:rsidRPr="00FF2F0C" w:rsidRDefault="00230468" w:rsidP="009F6176">
            <w:pPr>
              <w:keepNext/>
              <w:spacing w:line="480" w:lineRule="auto"/>
              <w:rPr>
                <w:kern w:val="2"/>
              </w:rPr>
            </w:pPr>
          </w:p>
        </w:tc>
        <w:tc>
          <w:tcPr>
            <w:tcW w:w="2781" w:type="dxa"/>
            <w:tcBorders>
              <w:top w:val="single" w:sz="7" w:space="0" w:color="000000"/>
              <w:left w:val="single" w:sz="7" w:space="0" w:color="000000"/>
              <w:bottom w:val="single" w:sz="6" w:space="0" w:color="FFFFFF"/>
              <w:right w:val="double" w:sz="7" w:space="0" w:color="000000"/>
            </w:tcBorders>
            <w:vAlign w:val="center"/>
          </w:tcPr>
          <w:p w:rsidR="00230468" w:rsidRPr="00FF2F0C" w:rsidRDefault="00230468" w:rsidP="009F6176">
            <w:pPr>
              <w:keepNext/>
              <w:spacing w:line="480" w:lineRule="auto"/>
              <w:rPr>
                <w:kern w:val="2"/>
                <w:u w:val="single"/>
              </w:rPr>
            </w:pPr>
            <w:r w:rsidRPr="00FF2F0C">
              <w:rPr>
                <w:kern w:val="2"/>
              </w:rPr>
              <w:t xml:space="preserve">$  </w:t>
            </w:r>
            <w:r w:rsidRPr="00FF2F0C">
              <w:rPr>
                <w:strike/>
                <w:kern w:val="2"/>
              </w:rPr>
              <w:t>200,000</w:t>
            </w:r>
            <w:r w:rsidRPr="00FF2F0C">
              <w:rPr>
                <w:kern w:val="2"/>
                <w:u w:val="single"/>
              </w:rPr>
              <w:t>140,000</w:t>
            </w:r>
          </w:p>
        </w:tc>
      </w:tr>
      <w:tr w:rsidR="00230468" w:rsidRPr="00FF2F0C" w:rsidTr="00CD5666">
        <w:trPr>
          <w:cantSplit/>
          <w:trHeight w:val="198"/>
          <w:jc w:val="center"/>
        </w:trPr>
        <w:tc>
          <w:tcPr>
            <w:tcW w:w="4149" w:type="dxa"/>
            <w:tcBorders>
              <w:top w:val="single" w:sz="7" w:space="0" w:color="000000"/>
              <w:left w:val="double" w:sz="7" w:space="0" w:color="000000"/>
              <w:bottom w:val="single" w:sz="6" w:space="0" w:color="FFFFFF"/>
              <w:right w:val="single" w:sz="6" w:space="0" w:color="FFFFFF"/>
            </w:tcBorders>
            <w:vAlign w:val="center"/>
          </w:tcPr>
          <w:p w:rsidR="00230468" w:rsidRPr="00FF2F0C" w:rsidRDefault="00230468" w:rsidP="009F6176">
            <w:pPr>
              <w:keepNext/>
              <w:spacing w:line="480" w:lineRule="auto"/>
              <w:rPr>
                <w:kern w:val="2"/>
              </w:rPr>
            </w:pPr>
            <w:r w:rsidRPr="00FF2F0C">
              <w:rPr>
                <w:kern w:val="2"/>
              </w:rPr>
              <w:t>Less other Louisiana credit on purchase</w:t>
            </w:r>
          </w:p>
        </w:tc>
        <w:tc>
          <w:tcPr>
            <w:tcW w:w="2781" w:type="dxa"/>
            <w:tcBorders>
              <w:top w:val="single" w:sz="7" w:space="0" w:color="000000"/>
              <w:left w:val="single" w:sz="7" w:space="0" w:color="000000"/>
              <w:bottom w:val="single" w:sz="6" w:space="0" w:color="FFFFFF"/>
              <w:right w:val="double" w:sz="7" w:space="0" w:color="000000"/>
            </w:tcBorders>
            <w:vAlign w:val="center"/>
          </w:tcPr>
          <w:p w:rsidR="00230468" w:rsidRPr="00FF2F0C" w:rsidRDefault="00230468" w:rsidP="009F6176">
            <w:pPr>
              <w:keepNext/>
              <w:spacing w:line="480" w:lineRule="auto"/>
              <w:rPr>
                <w:kern w:val="2"/>
                <w:u w:val="single"/>
              </w:rPr>
            </w:pPr>
            <w:r w:rsidRPr="00FF2F0C">
              <w:rPr>
                <w:kern w:val="2"/>
              </w:rPr>
              <w:t xml:space="preserve">$  </w:t>
            </w:r>
            <w:r w:rsidRPr="00FF2F0C">
              <w:rPr>
                <w:strike/>
                <w:kern w:val="2"/>
              </w:rPr>
              <w:t>100,000</w:t>
            </w:r>
            <w:r w:rsidRPr="00FF2F0C">
              <w:rPr>
                <w:kern w:val="2"/>
                <w:u w:val="single"/>
              </w:rPr>
              <w:t>40,000</w:t>
            </w:r>
          </w:p>
        </w:tc>
      </w:tr>
      <w:tr w:rsidR="00230468" w:rsidRPr="00FF2F0C" w:rsidTr="00CD5666">
        <w:trPr>
          <w:cantSplit/>
          <w:trHeight w:val="280"/>
          <w:jc w:val="center"/>
        </w:trPr>
        <w:tc>
          <w:tcPr>
            <w:tcW w:w="4149" w:type="dxa"/>
            <w:tcBorders>
              <w:top w:val="single" w:sz="7" w:space="0" w:color="000000"/>
              <w:left w:val="double" w:sz="7" w:space="0" w:color="000000"/>
              <w:bottom w:val="double" w:sz="7" w:space="0" w:color="000000"/>
              <w:right w:val="single" w:sz="6" w:space="0" w:color="FFFFFF"/>
            </w:tcBorders>
            <w:vAlign w:val="center"/>
          </w:tcPr>
          <w:p w:rsidR="00230468" w:rsidRPr="00FF2F0C" w:rsidRDefault="00230468" w:rsidP="009F6176">
            <w:pPr>
              <w:spacing w:line="480" w:lineRule="auto"/>
              <w:rPr>
                <w:kern w:val="2"/>
              </w:rPr>
            </w:pPr>
            <w:r w:rsidRPr="00FF2F0C">
              <w:rPr>
                <w:kern w:val="2"/>
              </w:rPr>
              <w:t>Maximum credit for all taxable periods</w:t>
            </w:r>
          </w:p>
        </w:tc>
        <w:tc>
          <w:tcPr>
            <w:tcW w:w="2781" w:type="dxa"/>
            <w:tcBorders>
              <w:top w:val="single" w:sz="7" w:space="0" w:color="000000"/>
              <w:left w:val="single" w:sz="7" w:space="0" w:color="000000"/>
              <w:bottom w:val="double" w:sz="7" w:space="0" w:color="000000"/>
              <w:right w:val="double" w:sz="7" w:space="0" w:color="000000"/>
            </w:tcBorders>
            <w:vAlign w:val="center"/>
          </w:tcPr>
          <w:p w:rsidR="00230468" w:rsidRPr="00FF2F0C" w:rsidRDefault="00230468" w:rsidP="009F6176">
            <w:pPr>
              <w:spacing w:line="480" w:lineRule="auto"/>
              <w:rPr>
                <w:kern w:val="2"/>
              </w:rPr>
            </w:pPr>
            <w:r w:rsidRPr="00FF2F0C">
              <w:rPr>
                <w:kern w:val="2"/>
              </w:rPr>
              <w:t>$  100,000</w:t>
            </w:r>
          </w:p>
        </w:tc>
      </w:tr>
    </w:tbl>
    <w:p w:rsidR="00AC7896" w:rsidRPr="00FF2F0C" w:rsidRDefault="00AC7896" w:rsidP="00CD344F">
      <w:pPr>
        <w:pStyle w:val="A1"/>
        <w:tabs>
          <w:tab w:val="clear" w:pos="187"/>
          <w:tab w:val="clear" w:pos="540"/>
          <w:tab w:val="clear" w:pos="4500"/>
          <w:tab w:val="clear" w:pos="4680"/>
          <w:tab w:val="clear" w:pos="4860"/>
          <w:tab w:val="clear" w:pos="5040"/>
          <w:tab w:val="clear" w:pos="7200"/>
        </w:tabs>
        <w:spacing w:after="0" w:line="480" w:lineRule="auto"/>
        <w:rPr>
          <w:sz w:val="24"/>
          <w:szCs w:val="24"/>
          <w:shd w:val="clear" w:color="auto" w:fill="D9D9D9"/>
        </w:rPr>
      </w:pPr>
    </w:p>
    <w:p w:rsidR="00AC7896" w:rsidRPr="00FF2F0C" w:rsidRDefault="00CD5666" w:rsidP="00CD5666">
      <w:pPr>
        <w:pStyle w:val="A1"/>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FF2F0C">
        <w:rPr>
          <w:sz w:val="24"/>
          <w:szCs w:val="24"/>
        </w:rPr>
        <w:tab/>
      </w:r>
      <w:r w:rsidR="005018F5" w:rsidRPr="00FF2F0C">
        <w:rPr>
          <w:noProof/>
          <w:sz w:val="24"/>
          <w:szCs w:val="24"/>
        </w:rPr>
        <mc:AlternateContent>
          <mc:Choice Requires="wps">
            <w:drawing>
              <wp:anchor distT="0" distB="0" distL="114300" distR="114300" simplePos="0" relativeHeight="251657728" behindDoc="0" locked="0" layoutInCell="1" allowOverlap="1">
                <wp:simplePos x="0" y="0"/>
                <wp:positionH relativeFrom="page">
                  <wp:posOffset>5852160</wp:posOffset>
                </wp:positionH>
                <wp:positionV relativeFrom="page">
                  <wp:posOffset>314325</wp:posOffset>
                </wp:positionV>
                <wp:extent cx="1280160" cy="274320"/>
                <wp:effectExtent l="0" t="0" r="0" b="0"/>
                <wp:wrapNone/>
                <wp:docPr id="3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96" w:rsidRDefault="00AC7896" w:rsidP="00AC7896">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460.8pt;margin-top:24.75pt;width:100.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3BuAIAALw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" filled="f" stroked="f">
                <v:textbox>
                  <w:txbxContent>
                    <w:p w:rsidR="00AC7896" w:rsidRDefault="00AC7896" w:rsidP="00AC7896">
                      <w:pPr>
                        <w:jc w:val="right"/>
                        <w:rPr>
                          <w:i/>
                          <w:sz w:val="20"/>
                        </w:rPr>
                      </w:pPr>
                    </w:p>
                  </w:txbxContent>
                </v:textbox>
                <w10:wrap anchorx="page" anchory="page"/>
              </v:shape>
            </w:pict>
          </mc:Fallback>
        </mc:AlternateContent>
      </w:r>
      <w:r w:rsidR="0070228C" w:rsidRPr="00FF2F0C">
        <w:rPr>
          <w:sz w:val="24"/>
          <w:szCs w:val="24"/>
        </w:rPr>
        <w:t>B.</w:t>
      </w:r>
      <w:r w:rsidR="0070228C" w:rsidRPr="00FF2F0C">
        <w:rPr>
          <w:sz w:val="24"/>
          <w:szCs w:val="24"/>
        </w:rPr>
        <w:tab/>
      </w:r>
      <w:r w:rsidR="00AC7896" w:rsidRPr="00FF2F0C">
        <w:rPr>
          <w:strike/>
          <w:sz w:val="24"/>
          <w:szCs w:val="24"/>
        </w:rPr>
        <w:t>One-fifth (20 percent)</w:t>
      </w:r>
      <w:r w:rsidR="002519E7" w:rsidRPr="00FF2F0C">
        <w:rPr>
          <w:sz w:val="24"/>
          <w:szCs w:val="24"/>
          <w:u w:val="single"/>
        </w:rPr>
        <w:t>Fourteen percent</w:t>
      </w:r>
      <w:r w:rsidR="00AC7896" w:rsidRPr="00FF2F0C">
        <w:rPr>
          <w:sz w:val="24"/>
          <w:szCs w:val="24"/>
        </w:rPr>
        <w:t xml:space="preserve"> of the maximum total credit related to a purchase of qualified recycling equipment and/or a qualified service contract is earned each taxable </w:t>
      </w:r>
      <w:proofErr w:type="gramStart"/>
      <w:r w:rsidR="00AC7896" w:rsidRPr="00FF2F0C">
        <w:rPr>
          <w:sz w:val="24"/>
          <w:szCs w:val="24"/>
        </w:rPr>
        <w:t>period</w:t>
      </w:r>
      <w:proofErr w:type="gramEnd"/>
      <w:r w:rsidR="00AC7896" w:rsidRPr="00FF2F0C">
        <w:rPr>
          <w:sz w:val="24"/>
          <w:szCs w:val="24"/>
        </w:rPr>
        <w:t xml:space="preserve"> in which the equipment or service contract continues to be in use exclusively in the state of Louisiana to a maximum of five periods. Example:</w:t>
      </w:r>
    </w:p>
    <w:tbl>
      <w:tblPr>
        <w:tblW w:w="0" w:type="auto"/>
        <w:jc w:val="center"/>
        <w:tblLayout w:type="fixed"/>
        <w:tblCellMar>
          <w:left w:w="153" w:type="dxa"/>
          <w:right w:w="153" w:type="dxa"/>
        </w:tblCellMar>
        <w:tblLook w:val="0000" w:firstRow="0" w:lastRow="0" w:firstColumn="0" w:lastColumn="0" w:noHBand="0" w:noVBand="0"/>
      </w:tblPr>
      <w:tblGrid>
        <w:gridCol w:w="4616"/>
        <w:gridCol w:w="1748"/>
      </w:tblGrid>
      <w:tr w:rsidR="00AC7896" w:rsidRPr="00FF2F0C" w:rsidTr="00CD5666">
        <w:trPr>
          <w:cantSplit/>
          <w:jc w:val="center"/>
        </w:trPr>
        <w:tc>
          <w:tcPr>
            <w:tcW w:w="4616" w:type="dxa"/>
            <w:tcBorders>
              <w:top w:val="double" w:sz="7" w:space="0" w:color="000000"/>
              <w:left w:val="double" w:sz="7" w:space="0" w:color="000000"/>
              <w:bottom w:val="single" w:sz="6" w:space="0" w:color="FFFFFF"/>
              <w:right w:val="single" w:sz="6" w:space="0" w:color="FFFFFF"/>
            </w:tcBorders>
            <w:vAlign w:val="center"/>
          </w:tcPr>
          <w:p w:rsidR="00AC7896" w:rsidRPr="00FF2F0C" w:rsidRDefault="00AC7896" w:rsidP="00CD344F">
            <w:pPr>
              <w:keepNext/>
              <w:spacing w:line="480" w:lineRule="auto"/>
              <w:rPr>
                <w:kern w:val="2"/>
              </w:rPr>
            </w:pPr>
            <w:r w:rsidRPr="00FF2F0C">
              <w:rPr>
                <w:kern w:val="2"/>
              </w:rPr>
              <w:t>Maximum credit for all taxable periods</w:t>
            </w:r>
          </w:p>
        </w:tc>
        <w:tc>
          <w:tcPr>
            <w:tcW w:w="1748" w:type="dxa"/>
            <w:tcBorders>
              <w:top w:val="double" w:sz="7" w:space="0" w:color="000000"/>
              <w:left w:val="single" w:sz="7" w:space="0" w:color="000000"/>
              <w:bottom w:val="single" w:sz="6" w:space="0" w:color="FFFFFF"/>
              <w:right w:val="double" w:sz="7" w:space="0" w:color="000000"/>
            </w:tcBorders>
            <w:vAlign w:val="center"/>
          </w:tcPr>
          <w:p w:rsidR="00AC7896" w:rsidRPr="00FF2F0C" w:rsidRDefault="00AC7896" w:rsidP="00CD344F">
            <w:pPr>
              <w:keepNext/>
              <w:spacing w:line="480" w:lineRule="auto"/>
              <w:rPr>
                <w:kern w:val="2"/>
              </w:rPr>
            </w:pPr>
            <w:r w:rsidRPr="00FF2F0C">
              <w:rPr>
                <w:kern w:val="2"/>
              </w:rPr>
              <w:t>$  100,000</w:t>
            </w:r>
          </w:p>
        </w:tc>
      </w:tr>
      <w:tr w:rsidR="00AC7896" w:rsidRPr="00FF2F0C" w:rsidTr="00CD5666">
        <w:trPr>
          <w:cantSplit/>
          <w:jc w:val="center"/>
        </w:trPr>
        <w:tc>
          <w:tcPr>
            <w:tcW w:w="4616" w:type="dxa"/>
            <w:tcBorders>
              <w:top w:val="single" w:sz="7" w:space="0" w:color="000000"/>
              <w:left w:val="double" w:sz="7" w:space="0" w:color="000000"/>
              <w:bottom w:val="single" w:sz="6" w:space="0" w:color="FFFFFF"/>
              <w:right w:val="single" w:sz="6" w:space="0" w:color="FFFFFF"/>
            </w:tcBorders>
            <w:vAlign w:val="center"/>
          </w:tcPr>
          <w:p w:rsidR="00AC7896" w:rsidRPr="00FF2F0C" w:rsidRDefault="00AC7896" w:rsidP="00CD344F">
            <w:pPr>
              <w:spacing w:line="480" w:lineRule="auto"/>
              <w:rPr>
                <w:kern w:val="2"/>
              </w:rPr>
            </w:pPr>
          </w:p>
        </w:tc>
        <w:tc>
          <w:tcPr>
            <w:tcW w:w="1748" w:type="dxa"/>
            <w:tcBorders>
              <w:top w:val="single" w:sz="7" w:space="0" w:color="000000"/>
              <w:left w:val="single" w:sz="7" w:space="0" w:color="000000"/>
              <w:bottom w:val="single" w:sz="6" w:space="0" w:color="FFFFFF"/>
              <w:right w:val="double" w:sz="7" w:space="0" w:color="000000"/>
            </w:tcBorders>
            <w:vAlign w:val="center"/>
          </w:tcPr>
          <w:p w:rsidR="00AC7896" w:rsidRPr="00FF2F0C" w:rsidRDefault="00AC7896" w:rsidP="00CD344F">
            <w:pPr>
              <w:spacing w:line="480" w:lineRule="auto"/>
              <w:rPr>
                <w:kern w:val="2"/>
                <w:u w:val="single"/>
              </w:rPr>
            </w:pPr>
            <w:r w:rsidRPr="00FF2F0C">
              <w:rPr>
                <w:kern w:val="2"/>
              </w:rPr>
              <w:t xml:space="preserve">X      </w:t>
            </w:r>
            <w:r w:rsidRPr="00FF2F0C">
              <w:rPr>
                <w:strike/>
                <w:kern w:val="2"/>
              </w:rPr>
              <w:t>.20</w:t>
            </w:r>
            <w:r w:rsidR="00576A4D" w:rsidRPr="00FF2F0C">
              <w:rPr>
                <w:kern w:val="2"/>
                <w:u w:val="single"/>
              </w:rPr>
              <w:t>.14</w:t>
            </w:r>
          </w:p>
        </w:tc>
      </w:tr>
      <w:tr w:rsidR="00AC7896" w:rsidRPr="00FF2F0C" w:rsidTr="00CD5666">
        <w:trPr>
          <w:cantSplit/>
          <w:jc w:val="center"/>
        </w:trPr>
        <w:tc>
          <w:tcPr>
            <w:tcW w:w="4616" w:type="dxa"/>
            <w:tcBorders>
              <w:top w:val="single" w:sz="7" w:space="0" w:color="000000"/>
              <w:left w:val="double" w:sz="7" w:space="0" w:color="000000"/>
              <w:bottom w:val="double" w:sz="7" w:space="0" w:color="000000"/>
              <w:right w:val="single" w:sz="6" w:space="0" w:color="FFFFFF"/>
            </w:tcBorders>
            <w:vAlign w:val="center"/>
          </w:tcPr>
          <w:p w:rsidR="00AC7896" w:rsidRPr="00FF2F0C" w:rsidRDefault="00AC7896" w:rsidP="00CD344F">
            <w:pPr>
              <w:spacing w:line="480" w:lineRule="auto"/>
              <w:rPr>
                <w:kern w:val="2"/>
              </w:rPr>
            </w:pPr>
            <w:r w:rsidRPr="00FF2F0C">
              <w:rPr>
                <w:kern w:val="2"/>
              </w:rPr>
              <w:lastRenderedPageBreak/>
              <w:t>Credit earned for this taxable period</w:t>
            </w:r>
          </w:p>
        </w:tc>
        <w:tc>
          <w:tcPr>
            <w:tcW w:w="1748" w:type="dxa"/>
            <w:tcBorders>
              <w:top w:val="single" w:sz="7" w:space="0" w:color="000000"/>
              <w:left w:val="single" w:sz="7" w:space="0" w:color="000000"/>
              <w:bottom w:val="double" w:sz="7" w:space="0" w:color="000000"/>
              <w:right w:val="double" w:sz="7" w:space="0" w:color="000000"/>
            </w:tcBorders>
            <w:vAlign w:val="center"/>
          </w:tcPr>
          <w:p w:rsidR="00AC7896" w:rsidRPr="00FF2F0C" w:rsidRDefault="00AC7896" w:rsidP="00CD344F">
            <w:pPr>
              <w:spacing w:line="480" w:lineRule="auto"/>
              <w:rPr>
                <w:kern w:val="2"/>
                <w:u w:val="single"/>
              </w:rPr>
            </w:pPr>
            <w:r w:rsidRPr="00FF2F0C">
              <w:rPr>
                <w:kern w:val="2"/>
              </w:rPr>
              <w:t xml:space="preserve">$   </w:t>
            </w:r>
            <w:r w:rsidRPr="00FF2F0C">
              <w:rPr>
                <w:strike/>
                <w:kern w:val="2"/>
              </w:rPr>
              <w:t>20,000</w:t>
            </w:r>
            <w:r w:rsidR="00576A4D" w:rsidRPr="00FF2F0C">
              <w:rPr>
                <w:kern w:val="2"/>
                <w:u w:val="single"/>
              </w:rPr>
              <w:t>14,000</w:t>
            </w:r>
          </w:p>
        </w:tc>
      </w:tr>
    </w:tbl>
    <w:p w:rsidR="007B431A" w:rsidRPr="00FF2F0C" w:rsidRDefault="007B431A" w:rsidP="007B431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shd w:val="clear" w:color="auto" w:fill="D9D9D9"/>
        </w:rPr>
      </w:pPr>
    </w:p>
    <w:p w:rsidR="007B431A" w:rsidRPr="00FF2F0C" w:rsidRDefault="007B431A" w:rsidP="007B431A">
      <w:r w:rsidRPr="00FF2F0C">
        <w:tab/>
        <w:t>C. — E.</w:t>
      </w:r>
      <w:r w:rsidRPr="00FF2F0C">
        <w:tab/>
        <w:t>…</w:t>
      </w:r>
    </w:p>
    <w:p w:rsidR="007B431A" w:rsidRPr="00FF2F0C" w:rsidRDefault="007B431A" w:rsidP="00576A4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AC7896" w:rsidRPr="00FF2F0C" w:rsidRDefault="00AC7896" w:rsidP="00576A4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F2F0C">
        <w:rPr>
          <w:sz w:val="24"/>
          <w:szCs w:val="24"/>
        </w:rPr>
        <w:t>AUTHORITY NOTE:</w:t>
      </w:r>
      <w:r w:rsidRPr="00FF2F0C">
        <w:rPr>
          <w:sz w:val="24"/>
          <w:szCs w:val="24"/>
        </w:rPr>
        <w:tab/>
        <w:t>Promulgated in accordance with R.S. 47:6005.</w:t>
      </w:r>
    </w:p>
    <w:p w:rsidR="00AC7896" w:rsidRPr="00FF2F0C" w:rsidRDefault="00AC7896" w:rsidP="00576A4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F2F0C">
        <w:rPr>
          <w:sz w:val="24"/>
          <w:szCs w:val="24"/>
        </w:rPr>
        <w:t>HISTORICAL NOTE:</w:t>
      </w:r>
      <w:r w:rsidRPr="00FF2F0C">
        <w:rPr>
          <w:sz w:val="24"/>
          <w:szCs w:val="24"/>
        </w:rPr>
        <w:tab/>
        <w:t>Promulgated by the Department of Environmental Quality, Office of the Secretary, LR 18:842 (August 1992), amended by the Office of the Secretary, Legal Affairs Division, LR 33:2633 (December 2007)</w:t>
      </w:r>
      <w:r w:rsidR="0070228C" w:rsidRPr="00FF2F0C">
        <w:rPr>
          <w:sz w:val="24"/>
          <w:szCs w:val="24"/>
        </w:rPr>
        <w:t>, amended by the Office of the Secretary, Legal Affairs</w:t>
      </w:r>
      <w:r w:rsidR="00E9513E" w:rsidRPr="00FF2F0C">
        <w:rPr>
          <w:sz w:val="24"/>
          <w:szCs w:val="24"/>
        </w:rPr>
        <w:t xml:space="preserve"> and Criminal Investigations</w:t>
      </w:r>
      <w:r w:rsidR="0070228C" w:rsidRPr="00FF2F0C">
        <w:rPr>
          <w:sz w:val="24"/>
          <w:szCs w:val="24"/>
        </w:rPr>
        <w:t xml:space="preserve"> Division, LR </w:t>
      </w:r>
      <w:r w:rsidR="007B431A" w:rsidRPr="00FF2F0C">
        <w:rPr>
          <w:sz w:val="24"/>
          <w:szCs w:val="24"/>
        </w:rPr>
        <w:t>4</w:t>
      </w:r>
      <w:r w:rsidR="00B5176E">
        <w:rPr>
          <w:sz w:val="24"/>
          <w:szCs w:val="24"/>
        </w:rPr>
        <w:t>5</w:t>
      </w:r>
      <w:r w:rsidR="007B431A" w:rsidRPr="00FF2F0C">
        <w:rPr>
          <w:sz w:val="24"/>
          <w:szCs w:val="24"/>
        </w:rPr>
        <w:t>:</w:t>
      </w:r>
    </w:p>
    <w:bookmarkEnd w:id="6"/>
    <w:p w:rsidR="00AC7896" w:rsidRPr="00FF2F0C" w:rsidRDefault="00AC7896" w:rsidP="00576A4D">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sectPr w:rsidR="00AC7896" w:rsidRPr="00FF2F0C" w:rsidSect="007D6D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50" w:rsidRDefault="00911250" w:rsidP="007B57D6">
      <w:r>
        <w:separator/>
      </w:r>
    </w:p>
  </w:endnote>
  <w:endnote w:type="continuationSeparator" w:id="0">
    <w:p w:rsidR="00911250" w:rsidRDefault="00911250" w:rsidP="007B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A4" w:rsidRDefault="00351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42" w:rsidRDefault="00F40E53">
    <w:pPr>
      <w:pStyle w:val="Footer"/>
      <w:jc w:val="center"/>
    </w:pPr>
    <w:r>
      <w:fldChar w:fldCharType="begin"/>
    </w:r>
    <w:r>
      <w:instrText xml:space="preserve"> PAGE   \* MERGEFORMAT </w:instrText>
    </w:r>
    <w:r>
      <w:fldChar w:fldCharType="separate"/>
    </w:r>
    <w:r w:rsidR="00924A8D">
      <w:rPr>
        <w:noProof/>
      </w:rPr>
      <w:t>1</w:t>
    </w:r>
    <w:r>
      <w:rPr>
        <w:noProof/>
      </w:rPr>
      <w:fldChar w:fldCharType="end"/>
    </w:r>
  </w:p>
  <w:p w:rsidR="00692F42" w:rsidRDefault="00692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A4" w:rsidRDefault="0035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50" w:rsidRDefault="00911250" w:rsidP="007B57D6">
      <w:r>
        <w:separator/>
      </w:r>
    </w:p>
  </w:footnote>
  <w:footnote w:type="continuationSeparator" w:id="0">
    <w:p w:rsidR="00911250" w:rsidRDefault="00911250" w:rsidP="007B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42" w:rsidRDefault="00692F42">
    <w:pPr>
      <w:pStyle w:val="Header"/>
      <w:jc w:val="center"/>
      <w:rPr>
        <w:caps/>
        <w:kern w:val="2"/>
      </w:rPr>
    </w:pPr>
    <w:r>
      <w:t>Title 33, Part VII, Subpart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42" w:rsidRPr="00AA4837" w:rsidRDefault="003514A4">
    <w:pPr>
      <w:pStyle w:val="Header"/>
      <w:rPr>
        <w:sz w:val="24"/>
        <w:szCs w:val="24"/>
      </w:rPr>
    </w:pPr>
    <w:r>
      <w:rPr>
        <w:sz w:val="24"/>
        <w:szCs w:val="24"/>
      </w:rPr>
      <w:t>Final/ May 20, 2019</w:t>
    </w:r>
    <w:r w:rsidR="0070228C">
      <w:rPr>
        <w:sz w:val="24"/>
        <w:szCs w:val="24"/>
      </w:rPr>
      <w:tab/>
    </w:r>
    <w:r w:rsidR="0070228C">
      <w:rPr>
        <w:sz w:val="24"/>
        <w:szCs w:val="24"/>
      </w:rPr>
      <w:tab/>
      <w:t>SW065</w:t>
    </w:r>
  </w:p>
  <w:p w:rsidR="00692F42" w:rsidRDefault="00692F42">
    <w:pPr>
      <w:pStyle w:val="Header"/>
      <w:jc w:val="center"/>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42" w:rsidRDefault="00692F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A4F"/>
    <w:multiLevelType w:val="hybridMultilevel"/>
    <w:tmpl w:val="8856B98C"/>
    <w:lvl w:ilvl="0" w:tplc="0409001B">
      <w:start w:val="1"/>
      <w:numFmt w:val="lowerRoman"/>
      <w:lvlText w:val="%1."/>
      <w:lvlJc w:val="righ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 w15:restartNumberingAfterBreak="0">
    <w:nsid w:val="02BE5BEA"/>
    <w:multiLevelType w:val="hybridMultilevel"/>
    <w:tmpl w:val="5784FC80"/>
    <w:lvl w:ilvl="0" w:tplc="1A9A0460">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B2328AE"/>
    <w:multiLevelType w:val="hybridMultilevel"/>
    <w:tmpl w:val="CA467DBC"/>
    <w:lvl w:ilvl="0" w:tplc="22CE7DFA">
      <w:start w:val="1"/>
      <w:numFmt w:val="lowerRoman"/>
      <w:lvlText w:val="%1."/>
      <w:lvlJc w:val="right"/>
      <w:pPr>
        <w:ind w:left="2433" w:hanging="360"/>
      </w:pPr>
      <w:rPr>
        <w:rFonts w:ascii="Times New Roman" w:eastAsia="Times New Roman" w:hAnsi="Times New Roman" w:cs="Times New Roman"/>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 w15:restartNumberingAfterBreak="0">
    <w:nsid w:val="2E2C7AA9"/>
    <w:multiLevelType w:val="hybridMultilevel"/>
    <w:tmpl w:val="8EFCD7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E062F"/>
    <w:multiLevelType w:val="hybridMultilevel"/>
    <w:tmpl w:val="8856B98C"/>
    <w:lvl w:ilvl="0" w:tplc="0409001B">
      <w:start w:val="1"/>
      <w:numFmt w:val="lowerRoman"/>
      <w:lvlText w:val="%1."/>
      <w:lvlJc w:val="righ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5" w15:restartNumberingAfterBreak="0">
    <w:nsid w:val="50D425FB"/>
    <w:multiLevelType w:val="hybridMultilevel"/>
    <w:tmpl w:val="3C947168"/>
    <w:lvl w:ilvl="0" w:tplc="0BEE1666">
      <w:start w:val="1"/>
      <w:numFmt w:val="lowerRoman"/>
      <w:lvlText w:val="%1."/>
      <w:lvlJc w:val="right"/>
      <w:pPr>
        <w:ind w:left="3499" w:hanging="360"/>
      </w:pPr>
      <w:rPr>
        <w:rFonts w:ascii="Times New Roman" w:eastAsia="Times New Roman" w:hAnsi="Times New Roman" w:cs="Times New Roman"/>
      </w:rPr>
    </w:lvl>
    <w:lvl w:ilvl="1" w:tplc="04090019">
      <w:start w:val="1"/>
      <w:numFmt w:val="lowerLetter"/>
      <w:lvlText w:val="%2."/>
      <w:lvlJc w:val="left"/>
      <w:pPr>
        <w:ind w:left="4219" w:hanging="360"/>
      </w:pPr>
    </w:lvl>
    <w:lvl w:ilvl="2" w:tplc="0409001B" w:tentative="1">
      <w:start w:val="1"/>
      <w:numFmt w:val="lowerRoman"/>
      <w:lvlText w:val="%3."/>
      <w:lvlJc w:val="right"/>
      <w:pPr>
        <w:ind w:left="4939" w:hanging="180"/>
      </w:pPr>
    </w:lvl>
    <w:lvl w:ilvl="3" w:tplc="0409000F" w:tentative="1">
      <w:start w:val="1"/>
      <w:numFmt w:val="decimal"/>
      <w:lvlText w:val="%4."/>
      <w:lvlJc w:val="left"/>
      <w:pPr>
        <w:ind w:left="5659" w:hanging="360"/>
      </w:pPr>
    </w:lvl>
    <w:lvl w:ilvl="4" w:tplc="04090019" w:tentative="1">
      <w:start w:val="1"/>
      <w:numFmt w:val="lowerLetter"/>
      <w:lvlText w:val="%5."/>
      <w:lvlJc w:val="left"/>
      <w:pPr>
        <w:ind w:left="6379" w:hanging="360"/>
      </w:pPr>
    </w:lvl>
    <w:lvl w:ilvl="5" w:tplc="0409001B" w:tentative="1">
      <w:start w:val="1"/>
      <w:numFmt w:val="lowerRoman"/>
      <w:lvlText w:val="%6."/>
      <w:lvlJc w:val="right"/>
      <w:pPr>
        <w:ind w:left="7099" w:hanging="180"/>
      </w:pPr>
    </w:lvl>
    <w:lvl w:ilvl="6" w:tplc="0409000F" w:tentative="1">
      <w:start w:val="1"/>
      <w:numFmt w:val="decimal"/>
      <w:lvlText w:val="%7."/>
      <w:lvlJc w:val="left"/>
      <w:pPr>
        <w:ind w:left="7819" w:hanging="360"/>
      </w:pPr>
    </w:lvl>
    <w:lvl w:ilvl="7" w:tplc="04090019" w:tentative="1">
      <w:start w:val="1"/>
      <w:numFmt w:val="lowerLetter"/>
      <w:lvlText w:val="%8."/>
      <w:lvlJc w:val="left"/>
      <w:pPr>
        <w:ind w:left="8539" w:hanging="360"/>
      </w:pPr>
    </w:lvl>
    <w:lvl w:ilvl="8" w:tplc="0409001B" w:tentative="1">
      <w:start w:val="1"/>
      <w:numFmt w:val="lowerRoman"/>
      <w:lvlText w:val="%9."/>
      <w:lvlJc w:val="right"/>
      <w:pPr>
        <w:ind w:left="9259" w:hanging="180"/>
      </w:pPr>
    </w:lvl>
  </w:abstractNum>
  <w:abstractNum w:abstractNumId="6" w15:restartNumberingAfterBreak="0">
    <w:nsid w:val="555F6BAC"/>
    <w:multiLevelType w:val="hybridMultilevel"/>
    <w:tmpl w:val="8856B98C"/>
    <w:lvl w:ilvl="0" w:tplc="0409001B">
      <w:start w:val="1"/>
      <w:numFmt w:val="lowerRoman"/>
      <w:lvlText w:val="%1."/>
      <w:lvlJc w:val="righ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7" w15:restartNumberingAfterBreak="0">
    <w:nsid w:val="61F70EB2"/>
    <w:multiLevelType w:val="hybridMultilevel"/>
    <w:tmpl w:val="C7545BA0"/>
    <w:lvl w:ilvl="0" w:tplc="A5F8CECC">
      <w:start w:val="1"/>
      <w:numFmt w:val="lowerRoman"/>
      <w:lvlText w:val="%1."/>
      <w:lvlJc w:val="right"/>
      <w:pPr>
        <w:ind w:left="2433" w:hanging="360"/>
      </w:pPr>
      <w:rPr>
        <w:rFonts w:ascii="Times New Roman" w:eastAsia="Times New Roman" w:hAnsi="Times New Roman" w:cs="Times New Roman"/>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8" w15:restartNumberingAfterBreak="0">
    <w:nsid w:val="641F507C"/>
    <w:multiLevelType w:val="hybridMultilevel"/>
    <w:tmpl w:val="805CEA9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9484FE0"/>
    <w:multiLevelType w:val="hybridMultilevel"/>
    <w:tmpl w:val="C4F21A22"/>
    <w:lvl w:ilvl="0" w:tplc="E52EB1C0">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9506F1C"/>
    <w:multiLevelType w:val="hybridMultilevel"/>
    <w:tmpl w:val="8856B98C"/>
    <w:lvl w:ilvl="0" w:tplc="0409001B">
      <w:start w:val="1"/>
      <w:numFmt w:val="lowerRoman"/>
      <w:lvlText w:val="%1."/>
      <w:lvlJc w:val="righ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1" w15:restartNumberingAfterBreak="0">
    <w:nsid w:val="6ADF3322"/>
    <w:multiLevelType w:val="hybridMultilevel"/>
    <w:tmpl w:val="8856B98C"/>
    <w:lvl w:ilvl="0" w:tplc="0409001B">
      <w:start w:val="1"/>
      <w:numFmt w:val="lowerRoman"/>
      <w:lvlText w:val="%1."/>
      <w:lvlJc w:val="righ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2" w15:restartNumberingAfterBreak="0">
    <w:nsid w:val="6E132F47"/>
    <w:multiLevelType w:val="hybridMultilevel"/>
    <w:tmpl w:val="8856B98C"/>
    <w:lvl w:ilvl="0" w:tplc="0409001B">
      <w:start w:val="1"/>
      <w:numFmt w:val="lowerRoman"/>
      <w:lvlText w:val="%1."/>
      <w:lvlJc w:val="righ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3" w15:restartNumberingAfterBreak="0">
    <w:nsid w:val="746344C3"/>
    <w:multiLevelType w:val="hybridMultilevel"/>
    <w:tmpl w:val="4B4273C6"/>
    <w:lvl w:ilvl="0" w:tplc="6E4A98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5E335E"/>
    <w:multiLevelType w:val="hybridMultilevel"/>
    <w:tmpl w:val="E2DCCAE4"/>
    <w:lvl w:ilvl="0" w:tplc="273687D2">
      <w:start w:val="1"/>
      <w:numFmt w:val="lowerLetter"/>
      <w:lvlText w:val="%1."/>
      <w:lvlJc w:val="left"/>
      <w:pPr>
        <w:ind w:left="2527" w:hanging="360"/>
      </w:pPr>
      <w:rPr>
        <w:rFonts w:hint="default"/>
        <w:u w:val="none"/>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5" w15:restartNumberingAfterBreak="0">
    <w:nsid w:val="7F8603A7"/>
    <w:multiLevelType w:val="hybridMultilevel"/>
    <w:tmpl w:val="92AEA828"/>
    <w:lvl w:ilvl="0" w:tplc="893EB544">
      <w:start w:val="1"/>
      <w:numFmt w:val="lowerRoman"/>
      <w:lvlText w:val="%1."/>
      <w:lvlJc w:val="right"/>
      <w:pPr>
        <w:ind w:left="3499" w:hanging="360"/>
      </w:pPr>
      <w:rPr>
        <w:rFonts w:ascii="Times New Roman" w:eastAsia="Times New Roman" w:hAnsi="Times New Roman" w:cs="Times New Roman"/>
      </w:rPr>
    </w:lvl>
    <w:lvl w:ilvl="1" w:tplc="04090019" w:tentative="1">
      <w:start w:val="1"/>
      <w:numFmt w:val="lowerLetter"/>
      <w:lvlText w:val="%2."/>
      <w:lvlJc w:val="left"/>
      <w:pPr>
        <w:ind w:left="4219" w:hanging="360"/>
      </w:pPr>
    </w:lvl>
    <w:lvl w:ilvl="2" w:tplc="0409001B" w:tentative="1">
      <w:start w:val="1"/>
      <w:numFmt w:val="lowerRoman"/>
      <w:lvlText w:val="%3."/>
      <w:lvlJc w:val="right"/>
      <w:pPr>
        <w:ind w:left="4939" w:hanging="180"/>
      </w:pPr>
    </w:lvl>
    <w:lvl w:ilvl="3" w:tplc="0409000F" w:tentative="1">
      <w:start w:val="1"/>
      <w:numFmt w:val="decimal"/>
      <w:lvlText w:val="%4."/>
      <w:lvlJc w:val="left"/>
      <w:pPr>
        <w:ind w:left="5659" w:hanging="360"/>
      </w:pPr>
    </w:lvl>
    <w:lvl w:ilvl="4" w:tplc="04090019" w:tentative="1">
      <w:start w:val="1"/>
      <w:numFmt w:val="lowerLetter"/>
      <w:lvlText w:val="%5."/>
      <w:lvlJc w:val="left"/>
      <w:pPr>
        <w:ind w:left="6379" w:hanging="360"/>
      </w:pPr>
    </w:lvl>
    <w:lvl w:ilvl="5" w:tplc="0409001B" w:tentative="1">
      <w:start w:val="1"/>
      <w:numFmt w:val="lowerRoman"/>
      <w:lvlText w:val="%6."/>
      <w:lvlJc w:val="right"/>
      <w:pPr>
        <w:ind w:left="7099" w:hanging="180"/>
      </w:pPr>
    </w:lvl>
    <w:lvl w:ilvl="6" w:tplc="0409000F" w:tentative="1">
      <w:start w:val="1"/>
      <w:numFmt w:val="decimal"/>
      <w:lvlText w:val="%7."/>
      <w:lvlJc w:val="left"/>
      <w:pPr>
        <w:ind w:left="7819" w:hanging="360"/>
      </w:pPr>
    </w:lvl>
    <w:lvl w:ilvl="7" w:tplc="04090019" w:tentative="1">
      <w:start w:val="1"/>
      <w:numFmt w:val="lowerLetter"/>
      <w:lvlText w:val="%8."/>
      <w:lvlJc w:val="left"/>
      <w:pPr>
        <w:ind w:left="8539" w:hanging="360"/>
      </w:pPr>
    </w:lvl>
    <w:lvl w:ilvl="8" w:tplc="0409001B" w:tentative="1">
      <w:start w:val="1"/>
      <w:numFmt w:val="lowerRoman"/>
      <w:lvlText w:val="%9."/>
      <w:lvlJc w:val="right"/>
      <w:pPr>
        <w:ind w:left="9259" w:hanging="180"/>
      </w:pPr>
    </w:lvl>
  </w:abstractNum>
  <w:num w:numId="1">
    <w:abstractNumId w:val="15"/>
  </w:num>
  <w:num w:numId="2">
    <w:abstractNumId w:val="7"/>
  </w:num>
  <w:num w:numId="3">
    <w:abstractNumId w:val="4"/>
  </w:num>
  <w:num w:numId="4">
    <w:abstractNumId w:val="12"/>
  </w:num>
  <w:num w:numId="5">
    <w:abstractNumId w:val="11"/>
  </w:num>
  <w:num w:numId="6">
    <w:abstractNumId w:val="10"/>
  </w:num>
  <w:num w:numId="7">
    <w:abstractNumId w:val="6"/>
  </w:num>
  <w:num w:numId="8">
    <w:abstractNumId w:val="0"/>
  </w:num>
  <w:num w:numId="9">
    <w:abstractNumId w:val="1"/>
  </w:num>
  <w:num w:numId="10">
    <w:abstractNumId w:val="3"/>
  </w:num>
  <w:num w:numId="11">
    <w:abstractNumId w:val="14"/>
  </w:num>
  <w:num w:numId="12">
    <w:abstractNumId w:val="5"/>
  </w:num>
  <w:num w:numId="13">
    <w:abstractNumId w:val="2"/>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2F"/>
    <w:rsid w:val="000357D4"/>
    <w:rsid w:val="00071A81"/>
    <w:rsid w:val="00097526"/>
    <w:rsid w:val="000E3A73"/>
    <w:rsid w:val="000F6BF9"/>
    <w:rsid w:val="000F74E4"/>
    <w:rsid w:val="001251F0"/>
    <w:rsid w:val="001946BF"/>
    <w:rsid w:val="001A572F"/>
    <w:rsid w:val="001C40EF"/>
    <w:rsid w:val="00202806"/>
    <w:rsid w:val="00210DFC"/>
    <w:rsid w:val="00230468"/>
    <w:rsid w:val="002305D9"/>
    <w:rsid w:val="0023648B"/>
    <w:rsid w:val="002456F8"/>
    <w:rsid w:val="002519E7"/>
    <w:rsid w:val="00291091"/>
    <w:rsid w:val="00294E77"/>
    <w:rsid w:val="002E7356"/>
    <w:rsid w:val="002F309A"/>
    <w:rsid w:val="00312593"/>
    <w:rsid w:val="003233AB"/>
    <w:rsid w:val="0034770A"/>
    <w:rsid w:val="003514A4"/>
    <w:rsid w:val="00357AAA"/>
    <w:rsid w:val="00365F65"/>
    <w:rsid w:val="0037055B"/>
    <w:rsid w:val="003A7DDF"/>
    <w:rsid w:val="00400DF5"/>
    <w:rsid w:val="00445285"/>
    <w:rsid w:val="005018F5"/>
    <w:rsid w:val="00540108"/>
    <w:rsid w:val="005614C8"/>
    <w:rsid w:val="00576A4D"/>
    <w:rsid w:val="005911A8"/>
    <w:rsid w:val="005F2E5A"/>
    <w:rsid w:val="00626EE2"/>
    <w:rsid w:val="00650EAF"/>
    <w:rsid w:val="00657828"/>
    <w:rsid w:val="006774EA"/>
    <w:rsid w:val="00692F42"/>
    <w:rsid w:val="0070203B"/>
    <w:rsid w:val="0070228C"/>
    <w:rsid w:val="00733190"/>
    <w:rsid w:val="007359A8"/>
    <w:rsid w:val="00745F43"/>
    <w:rsid w:val="00766BA0"/>
    <w:rsid w:val="007934DC"/>
    <w:rsid w:val="007A0AEA"/>
    <w:rsid w:val="007B1994"/>
    <w:rsid w:val="007B304D"/>
    <w:rsid w:val="007B431A"/>
    <w:rsid w:val="007B57D6"/>
    <w:rsid w:val="007D6DE9"/>
    <w:rsid w:val="00827A77"/>
    <w:rsid w:val="00875D98"/>
    <w:rsid w:val="008A60FB"/>
    <w:rsid w:val="008E21CF"/>
    <w:rsid w:val="008F3B9F"/>
    <w:rsid w:val="009031D4"/>
    <w:rsid w:val="00911250"/>
    <w:rsid w:val="009118B1"/>
    <w:rsid w:val="00924A8D"/>
    <w:rsid w:val="00932250"/>
    <w:rsid w:val="009478FB"/>
    <w:rsid w:val="009509EC"/>
    <w:rsid w:val="00957DC2"/>
    <w:rsid w:val="009628A8"/>
    <w:rsid w:val="009B18C2"/>
    <w:rsid w:val="00A16D05"/>
    <w:rsid w:val="00A442C7"/>
    <w:rsid w:val="00AA4837"/>
    <w:rsid w:val="00AC4CB1"/>
    <w:rsid w:val="00AC7896"/>
    <w:rsid w:val="00B060B9"/>
    <w:rsid w:val="00B47C15"/>
    <w:rsid w:val="00B5176E"/>
    <w:rsid w:val="00B62B4B"/>
    <w:rsid w:val="00B94C52"/>
    <w:rsid w:val="00BC17D0"/>
    <w:rsid w:val="00BD7519"/>
    <w:rsid w:val="00BE1EA0"/>
    <w:rsid w:val="00C131E2"/>
    <w:rsid w:val="00C271B3"/>
    <w:rsid w:val="00C4473A"/>
    <w:rsid w:val="00CD344F"/>
    <w:rsid w:val="00CD5666"/>
    <w:rsid w:val="00CF2DD7"/>
    <w:rsid w:val="00D20BCA"/>
    <w:rsid w:val="00D51DA9"/>
    <w:rsid w:val="00DA480A"/>
    <w:rsid w:val="00DE36CC"/>
    <w:rsid w:val="00DE5CBF"/>
    <w:rsid w:val="00E1352D"/>
    <w:rsid w:val="00E23C5F"/>
    <w:rsid w:val="00E85646"/>
    <w:rsid w:val="00E9513E"/>
    <w:rsid w:val="00F2790B"/>
    <w:rsid w:val="00F37B02"/>
    <w:rsid w:val="00F40E53"/>
    <w:rsid w:val="00FE3DA9"/>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4D7EE-74AE-48A6-8F56-FF4CBA85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2F"/>
    <w:rPr>
      <w:rFonts w:ascii="Times New Roman" w:eastAsia="Times New Roman" w:hAnsi="Times New Roman"/>
      <w:sz w:val="24"/>
      <w:szCs w:val="24"/>
    </w:rPr>
  </w:style>
  <w:style w:type="paragraph" w:styleId="Heading2">
    <w:name w:val="heading 2"/>
    <w:basedOn w:val="Normal"/>
    <w:link w:val="Heading2Char"/>
    <w:qFormat/>
    <w:rsid w:val="001A572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A572F"/>
    <w:rPr>
      <w:rFonts w:ascii="Times New Roman" w:eastAsia="Times New Roman" w:hAnsi="Times New Roman" w:cs="Times New Roman"/>
      <w:b/>
      <w:bCs/>
      <w:sz w:val="36"/>
      <w:szCs w:val="36"/>
    </w:rPr>
  </w:style>
  <w:style w:type="paragraph" w:styleId="Header">
    <w:name w:val="header"/>
    <w:basedOn w:val="Normal"/>
    <w:link w:val="HeaderChar"/>
    <w:uiPriority w:val="99"/>
    <w:rsid w:val="001A572F"/>
    <w:pPr>
      <w:tabs>
        <w:tab w:val="center" w:pos="4320"/>
        <w:tab w:val="right" w:pos="8640"/>
      </w:tabs>
    </w:pPr>
    <w:rPr>
      <w:sz w:val="20"/>
      <w:szCs w:val="20"/>
    </w:rPr>
  </w:style>
  <w:style w:type="character" w:customStyle="1" w:styleId="HeaderChar">
    <w:name w:val="Header Char"/>
    <w:link w:val="Header"/>
    <w:uiPriority w:val="99"/>
    <w:rsid w:val="001A572F"/>
    <w:rPr>
      <w:rFonts w:ascii="Times New Roman" w:eastAsia="Times New Roman" w:hAnsi="Times New Roman" w:cs="Times New Roman"/>
      <w:sz w:val="20"/>
      <w:szCs w:val="20"/>
    </w:rPr>
  </w:style>
  <w:style w:type="paragraph" w:customStyle="1" w:styleId="Part">
    <w:name w:val="Part"/>
    <w:basedOn w:val="Title"/>
    <w:rsid w:val="001A572F"/>
    <w:pPr>
      <w:keepNext/>
      <w:keepLines/>
      <w:pBdr>
        <w:bottom w:val="none" w:sz="0" w:space="0" w:color="auto"/>
      </w:pBdr>
      <w:spacing w:after="120"/>
      <w:contextualSpacing w:val="0"/>
      <w:jc w:val="center"/>
      <w:outlineLvl w:val="0"/>
    </w:pPr>
    <w:rPr>
      <w:rFonts w:ascii="Times New Roman" w:hAnsi="Times New Roman"/>
      <w:b/>
      <w:color w:val="auto"/>
      <w:spacing w:val="0"/>
      <w:kern w:val="2"/>
      <w:sz w:val="28"/>
      <w:szCs w:val="20"/>
    </w:rPr>
  </w:style>
  <w:style w:type="paragraph" w:customStyle="1" w:styleId="Title1">
    <w:name w:val="Title1"/>
    <w:basedOn w:val="Title"/>
    <w:next w:val="Normal"/>
    <w:rsid w:val="001A572F"/>
    <w:pPr>
      <w:pageBreakBefore/>
      <w:pBdr>
        <w:bottom w:val="none" w:sz="0" w:space="0" w:color="auto"/>
      </w:pBdr>
      <w:spacing w:after="60"/>
      <w:contextualSpacing w:val="0"/>
      <w:jc w:val="center"/>
    </w:pPr>
    <w:rPr>
      <w:rFonts w:ascii="Times New Roman" w:hAnsi="Times New Roman"/>
      <w:b/>
      <w:color w:val="auto"/>
      <w:spacing w:val="0"/>
      <w:sz w:val="28"/>
      <w:szCs w:val="20"/>
    </w:rPr>
  </w:style>
  <w:style w:type="paragraph" w:customStyle="1" w:styleId="Chapter">
    <w:name w:val="Chapter"/>
    <w:basedOn w:val="Normal"/>
    <w:rsid w:val="001A572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paragraph" w:customStyle="1" w:styleId="Section">
    <w:name w:val="Section"/>
    <w:basedOn w:val="Normal"/>
    <w:link w:val="SectionChar"/>
    <w:rsid w:val="001A572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rsid w:val="001A572F"/>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1A572F"/>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0">
    <w:name w:val="(a)."/>
    <w:basedOn w:val="Normal"/>
    <w:rsid w:val="001A572F"/>
    <w:pPr>
      <w:tabs>
        <w:tab w:val="left" w:pos="1267"/>
        <w:tab w:val="left" w:pos="4500"/>
        <w:tab w:val="left" w:pos="4680"/>
        <w:tab w:val="left" w:pos="4860"/>
        <w:tab w:val="left" w:pos="5040"/>
        <w:tab w:val="left" w:pos="7200"/>
      </w:tabs>
      <w:spacing w:after="120"/>
      <w:ind w:firstLine="907"/>
      <w:jc w:val="both"/>
      <w:outlineLvl w:val="7"/>
    </w:pPr>
    <w:rPr>
      <w:kern w:val="2"/>
      <w:sz w:val="20"/>
      <w:szCs w:val="20"/>
    </w:rPr>
  </w:style>
  <w:style w:type="paragraph" w:customStyle="1" w:styleId="1">
    <w:name w:val="1."/>
    <w:basedOn w:val="Normal"/>
    <w:rsid w:val="001A572F"/>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uthorityNote">
    <w:name w:val="Authority Note"/>
    <w:basedOn w:val="Normal"/>
    <w:link w:val="AuthorityNoteChar"/>
    <w:rsid w:val="001A572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A572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character" w:customStyle="1" w:styleId="HistoricalNoteChar">
    <w:name w:val="Historical Note Char"/>
    <w:link w:val="HistoricalNote"/>
    <w:rsid w:val="001A572F"/>
    <w:rPr>
      <w:rFonts w:ascii="Times New Roman" w:eastAsia="Times New Roman" w:hAnsi="Times New Roman" w:cs="Times New Roman"/>
      <w:kern w:val="2"/>
      <w:sz w:val="18"/>
      <w:szCs w:val="20"/>
    </w:rPr>
  </w:style>
  <w:style w:type="paragraph" w:styleId="Title">
    <w:name w:val="Title"/>
    <w:basedOn w:val="Normal"/>
    <w:next w:val="Normal"/>
    <w:link w:val="TitleChar"/>
    <w:uiPriority w:val="10"/>
    <w:qFormat/>
    <w:rsid w:val="001A572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A572F"/>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unhideWhenUsed/>
    <w:rsid w:val="000E3A73"/>
    <w:pPr>
      <w:tabs>
        <w:tab w:val="center" w:pos="4680"/>
        <w:tab w:val="right" w:pos="9360"/>
      </w:tabs>
    </w:pPr>
  </w:style>
  <w:style w:type="character" w:customStyle="1" w:styleId="FooterChar">
    <w:name w:val="Footer Char"/>
    <w:link w:val="Footer"/>
    <w:uiPriority w:val="99"/>
    <w:rsid w:val="000E3A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A73"/>
    <w:rPr>
      <w:rFonts w:ascii="Tahoma" w:hAnsi="Tahoma" w:cs="Tahoma"/>
      <w:sz w:val="16"/>
      <w:szCs w:val="16"/>
    </w:rPr>
  </w:style>
  <w:style w:type="character" w:customStyle="1" w:styleId="BalloonTextChar">
    <w:name w:val="Balloon Text Char"/>
    <w:link w:val="BalloonText"/>
    <w:uiPriority w:val="99"/>
    <w:semiHidden/>
    <w:rsid w:val="000E3A73"/>
    <w:rPr>
      <w:rFonts w:ascii="Tahoma" w:eastAsia="Times New Roman" w:hAnsi="Tahoma" w:cs="Tahoma"/>
      <w:sz w:val="16"/>
      <w:szCs w:val="16"/>
    </w:rPr>
  </w:style>
  <w:style w:type="paragraph" w:customStyle="1" w:styleId="A1">
    <w:name w:val="A."/>
    <w:basedOn w:val="Normal"/>
    <w:link w:val="AChar"/>
    <w:rsid w:val="000E3A73"/>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link w:val="A1"/>
    <w:rsid w:val="000E3A73"/>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AC7896"/>
    <w:rPr>
      <w:rFonts w:ascii="Times New Roman" w:eastAsia="Times New Roman" w:hAnsi="Times New Roman"/>
      <w:kern w:val="2"/>
      <w:sz w:val="18"/>
    </w:rPr>
  </w:style>
  <w:style w:type="character" w:customStyle="1" w:styleId="SectionChar">
    <w:name w:val="Section Char"/>
    <w:link w:val="Section"/>
    <w:locked/>
    <w:rsid w:val="00AC7896"/>
    <w:rPr>
      <w:rFonts w:ascii="Times New Roman" w:eastAsia="Times New Roman" w:hAnsi="Times New Roman"/>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32C9-70D6-4C7C-9148-3119C713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dc:creator>
  <cp:lastModifiedBy>Laura Almond</cp:lastModifiedBy>
  <cp:revision>2</cp:revision>
  <cp:lastPrinted>2019-01-25T14:13:00Z</cp:lastPrinted>
  <dcterms:created xsi:type="dcterms:W3CDTF">2019-05-09T19:52:00Z</dcterms:created>
  <dcterms:modified xsi:type="dcterms:W3CDTF">2019-05-09T19:52:00Z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gFAA9xAl/vizjZhdZZjJDMYQna6ZPuyotcWWpeCt+7MfRF/Fyo1hvmj76s20LslVuXDp3mw7logIA39U
++gXpKd4b3cbPBDCoep63rCiBQoBt1OF8H1u0RCrQdc/zwM6847ItQLdcRIonj+McHcrf3EGHuzK
kBet0P7v1aWpsphb4oStya7R74kY5FTuynIQCzHVsD16n0VYHK/l1/Q26K+hddAALN1NeWbcNj2t
On1Vxzis45LasNJYM</vt:lpwstr>
  </property>
  <property fmtid="{D5CDD505-2E9C-101B-9397-08002B2CF9AE}" pid="3" name="MAIL_MSG_ID2">
    <vt:lpwstr>QSqTJBwNysRICuxST/cQOsdsCSKKvtKjSmg3g8AAuTnVBiufkSxyfr3HSYM
pv5ww2zDHN7UhPa+eH56ZOaO/z7ud/XtxMjuwQ==</vt:lpwstr>
  </property>
  <property fmtid="{D5CDD505-2E9C-101B-9397-08002B2CF9AE}" pid="4" name="RESPONSE_SENDER_NAME">
    <vt:lpwstr>sAAAb0xRtPDW5UvHgV+RLZTTxibPzwOLpYS7O1aZUaxYUVE=</vt:lpwstr>
  </property>
  <property fmtid="{D5CDD505-2E9C-101B-9397-08002B2CF9AE}" pid="5" name="EMAIL_OWNER_ADDRESS">
    <vt:lpwstr>4AAA9mrMv1QjWAt1Cgwbfz2W7KhOhQBvgOaTunMi7ROHf/dccQVr9xKpgA==</vt:lpwstr>
  </property>
</Properties>
</file>