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00" w:rsidRPr="00C43400" w:rsidRDefault="00C43400" w:rsidP="00C43400">
      <w:pPr>
        <w:jc w:val="center"/>
        <w:rPr>
          <w:b/>
        </w:rPr>
      </w:pPr>
      <w:bookmarkStart w:id="0" w:name="TOC_Chap7"/>
      <w:bookmarkStart w:id="1" w:name="_GoBack"/>
      <w:bookmarkEnd w:id="1"/>
      <w:r w:rsidRPr="00C43400">
        <w:rPr>
          <w:b/>
        </w:rPr>
        <w:t>Title 33</w:t>
      </w:r>
    </w:p>
    <w:p w:rsidR="00C43400" w:rsidRPr="001E3E14" w:rsidRDefault="00C43400" w:rsidP="00C43400">
      <w:pPr>
        <w:jc w:val="center"/>
        <w:rPr>
          <w:b/>
        </w:rPr>
      </w:pPr>
      <w:r w:rsidRPr="001E3E14">
        <w:rPr>
          <w:b/>
        </w:rPr>
        <w:t>ENVIRONMENTAL QUALITY</w:t>
      </w:r>
    </w:p>
    <w:p w:rsidR="005C6EC8" w:rsidRPr="001E3E14" w:rsidRDefault="005C6EC8" w:rsidP="009C483F">
      <w:pPr>
        <w:pStyle w:val="Heading2"/>
        <w:spacing w:line="360" w:lineRule="auto"/>
      </w:pPr>
      <w:r w:rsidRPr="001E3E14">
        <w:t>Part XI.  Underground Storage Tanks</w:t>
      </w:r>
    </w:p>
    <w:p w:rsidR="005C6EC8" w:rsidRPr="001E3E14" w:rsidRDefault="005C6EC8" w:rsidP="009C483F">
      <w:pPr>
        <w:pStyle w:val="Heading4"/>
        <w:spacing w:line="360" w:lineRule="auto"/>
      </w:pPr>
      <w:r w:rsidRPr="001E3E14">
        <w:t>Chapter 3.</w:t>
      </w:r>
      <w:bookmarkStart w:id="2" w:name="TOCT_Chap7"/>
      <w:bookmarkEnd w:id="0"/>
      <w:r w:rsidRPr="001E3E14">
        <w:tab/>
        <w:t>Registration Requirements, Standards, and Fee Schedule</w:t>
      </w:r>
      <w:bookmarkEnd w:id="2"/>
    </w:p>
    <w:p w:rsidR="005C6EC8" w:rsidRPr="001E3E14" w:rsidRDefault="005C6EC8" w:rsidP="009C483F">
      <w:pPr>
        <w:pStyle w:val="Heading5"/>
        <w:spacing w:line="480" w:lineRule="auto"/>
      </w:pPr>
      <w:bookmarkStart w:id="3" w:name="TOC_Sect73"/>
      <w:r w:rsidRPr="001E3E14">
        <w:t>§307.</w:t>
      </w:r>
      <w:r w:rsidRPr="001E3E14">
        <w:tab/>
        <w:t>Fee Schedule</w:t>
      </w:r>
      <w:bookmarkEnd w:id="3"/>
    </w:p>
    <w:p w:rsidR="005C6EC8" w:rsidRPr="003416A7" w:rsidRDefault="00425786" w:rsidP="00425786">
      <w:pPr>
        <w:tabs>
          <w:tab w:val="clear" w:pos="1080"/>
          <w:tab w:val="clear" w:pos="1440"/>
          <w:tab w:val="clear" w:pos="1800"/>
          <w:tab w:val="clear" w:pos="2160"/>
          <w:tab w:val="clear" w:pos="2520"/>
        </w:tabs>
        <w:spacing w:line="480" w:lineRule="auto"/>
        <w:ind w:left="0" w:firstLine="0"/>
      </w:pPr>
      <w:r>
        <w:tab/>
      </w:r>
      <w:r w:rsidR="005C6EC8" w:rsidRPr="003416A7">
        <w:t>A.</w:t>
      </w:r>
      <w:r w:rsidR="00C43400" w:rsidRPr="001E3E14">
        <w:t xml:space="preserve"> </w:t>
      </w:r>
      <w:r>
        <w:t>—</w:t>
      </w:r>
      <w:r w:rsidR="00C43400">
        <w:t xml:space="preserve"> </w:t>
      </w:r>
      <w:r w:rsidR="005C6EC8" w:rsidRPr="003416A7">
        <w:t>B.</w:t>
      </w:r>
      <w:r>
        <w:t>3.</w:t>
      </w:r>
      <w:r>
        <w:tab/>
        <w:t>…</w:t>
      </w:r>
    </w:p>
    <w:p w:rsidR="009C483F" w:rsidRPr="003416A7" w:rsidRDefault="00425786" w:rsidP="00425786">
      <w:pPr>
        <w:tabs>
          <w:tab w:val="clear" w:pos="1080"/>
          <w:tab w:val="clear" w:pos="1440"/>
          <w:tab w:val="clear" w:pos="1800"/>
          <w:tab w:val="clear" w:pos="2160"/>
          <w:tab w:val="clear" w:pos="2520"/>
        </w:tabs>
        <w:spacing w:line="480" w:lineRule="auto"/>
        <w:ind w:left="0" w:firstLine="0"/>
      </w:pPr>
      <w:r>
        <w:tab/>
      </w:r>
      <w:r>
        <w:tab/>
      </w:r>
      <w:r w:rsidR="005C6EC8" w:rsidRPr="003416A7">
        <w:t>4.</w:t>
      </w:r>
      <w:r w:rsidR="005C6EC8" w:rsidRPr="003416A7">
        <w:tab/>
        <w:t>Fees are assessed according to the following schedule.</w:t>
      </w:r>
    </w:p>
    <w:tbl>
      <w:tblPr>
        <w:tblW w:w="9615" w:type="dxa"/>
        <w:jc w:val="cente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1065"/>
        <w:gridCol w:w="7290"/>
        <w:gridCol w:w="1260"/>
      </w:tblGrid>
      <w:tr w:rsidR="005C6EC8" w:rsidRPr="003416A7" w:rsidTr="009C483F">
        <w:trPr>
          <w:cantSplit/>
          <w:jc w:val="center"/>
        </w:trPr>
        <w:tc>
          <w:tcPr>
            <w:tcW w:w="1065" w:type="dxa"/>
            <w:tcBorders>
              <w:top w:val="double" w:sz="4" w:space="0" w:color="auto"/>
              <w:left w:val="double" w:sz="4" w:space="0" w:color="auto"/>
              <w:bottom w:val="single" w:sz="6" w:space="0" w:color="000000"/>
              <w:right w:val="single" w:sz="6" w:space="0" w:color="000000"/>
            </w:tcBorders>
            <w:shd w:val="clear" w:color="auto" w:fill="D9D9D9" w:themeFill="background1" w:themeFillShade="D9"/>
            <w:vAlign w:val="center"/>
            <w:hideMark/>
          </w:tcPr>
          <w:p w:rsidR="005C6EC8" w:rsidRDefault="005C6EC8" w:rsidP="00C43400">
            <w:pPr>
              <w:spacing w:line="480" w:lineRule="auto"/>
            </w:pPr>
            <w:r>
              <w:t>Fee</w:t>
            </w:r>
          </w:p>
          <w:p w:rsidR="005C6EC8" w:rsidRPr="003416A7" w:rsidRDefault="005C6EC8" w:rsidP="00C43400">
            <w:pPr>
              <w:spacing w:line="480" w:lineRule="auto"/>
            </w:pPr>
            <w:r w:rsidRPr="003416A7">
              <w:t>Number</w:t>
            </w:r>
          </w:p>
        </w:tc>
        <w:tc>
          <w:tcPr>
            <w:tcW w:w="7290" w:type="dxa"/>
            <w:tcBorders>
              <w:top w:val="double" w:sz="4" w:space="0" w:color="auto"/>
              <w:left w:val="single" w:sz="6" w:space="0" w:color="000000"/>
              <w:bottom w:val="single" w:sz="6" w:space="0" w:color="000000"/>
              <w:right w:val="single" w:sz="6" w:space="0" w:color="000000"/>
            </w:tcBorders>
            <w:shd w:val="clear" w:color="auto" w:fill="D9D9D9" w:themeFill="background1" w:themeFillShade="D9"/>
            <w:vAlign w:val="center"/>
            <w:hideMark/>
          </w:tcPr>
          <w:p w:rsidR="005C6EC8" w:rsidRPr="003416A7" w:rsidRDefault="005C6EC8" w:rsidP="00C43400">
            <w:pPr>
              <w:spacing w:line="480" w:lineRule="auto"/>
            </w:pPr>
            <w:r w:rsidRPr="003416A7">
              <w:t>Annual Fees</w:t>
            </w:r>
          </w:p>
        </w:tc>
        <w:tc>
          <w:tcPr>
            <w:tcW w:w="1260" w:type="dxa"/>
            <w:tcBorders>
              <w:top w:val="double" w:sz="4" w:space="0" w:color="auto"/>
              <w:left w:val="single" w:sz="6" w:space="0" w:color="000000"/>
              <w:bottom w:val="single" w:sz="6" w:space="0" w:color="000000"/>
              <w:right w:val="double" w:sz="4" w:space="0" w:color="auto"/>
            </w:tcBorders>
            <w:shd w:val="clear" w:color="auto" w:fill="D9D9D9" w:themeFill="background1" w:themeFillShade="D9"/>
            <w:vAlign w:val="center"/>
            <w:hideMark/>
          </w:tcPr>
          <w:p w:rsidR="005C6EC8" w:rsidRPr="003416A7" w:rsidRDefault="005C6EC8" w:rsidP="00C43400">
            <w:pPr>
              <w:spacing w:line="480" w:lineRule="auto"/>
            </w:pPr>
            <w:r w:rsidRPr="003416A7">
              <w:t>Amount</w:t>
            </w:r>
          </w:p>
        </w:tc>
      </w:tr>
      <w:tr w:rsidR="005C6EC8" w:rsidRPr="003416A7" w:rsidTr="009C483F">
        <w:trPr>
          <w:cantSplit/>
          <w:jc w:val="center"/>
        </w:trPr>
        <w:tc>
          <w:tcPr>
            <w:tcW w:w="1065" w:type="dxa"/>
            <w:tcBorders>
              <w:top w:val="single" w:sz="6" w:space="0" w:color="000000"/>
              <w:left w:val="double" w:sz="4" w:space="0" w:color="auto"/>
              <w:bottom w:val="single" w:sz="6" w:space="0" w:color="000000"/>
              <w:right w:val="single" w:sz="6" w:space="0" w:color="000000"/>
            </w:tcBorders>
            <w:shd w:val="clear" w:color="auto" w:fill="D9D9D9" w:themeFill="background1" w:themeFillShade="D9"/>
            <w:vAlign w:val="center"/>
            <w:hideMark/>
          </w:tcPr>
          <w:p w:rsidR="005C6EC8" w:rsidRPr="003416A7" w:rsidRDefault="005C6EC8" w:rsidP="00C43400">
            <w:pPr>
              <w:spacing w:line="480" w:lineRule="auto"/>
            </w:pPr>
            <w:r w:rsidRPr="003416A7">
              <w:t>1</w:t>
            </w:r>
          </w:p>
        </w:tc>
        <w:tc>
          <w:tcPr>
            <w:tcW w:w="72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5C6EC8" w:rsidRPr="003416A7" w:rsidRDefault="005C6EC8" w:rsidP="00C43400">
            <w:pPr>
              <w:spacing w:line="480" w:lineRule="auto"/>
            </w:pPr>
            <w:r w:rsidRPr="003416A7">
              <w:t>Annual Registration Fee</w:t>
            </w:r>
          </w:p>
        </w:tc>
        <w:tc>
          <w:tcPr>
            <w:tcW w:w="1260" w:type="dxa"/>
            <w:tcBorders>
              <w:top w:val="single" w:sz="6" w:space="0" w:color="000000"/>
              <w:left w:val="single" w:sz="6" w:space="0" w:color="000000"/>
              <w:bottom w:val="single" w:sz="6" w:space="0" w:color="000000"/>
              <w:right w:val="double" w:sz="4" w:space="0" w:color="auto"/>
            </w:tcBorders>
            <w:shd w:val="clear" w:color="auto" w:fill="D9D9D9" w:themeFill="background1" w:themeFillShade="D9"/>
            <w:vAlign w:val="center"/>
          </w:tcPr>
          <w:p w:rsidR="005C6EC8" w:rsidRPr="003416A7" w:rsidRDefault="005C6EC8" w:rsidP="00C43400">
            <w:pPr>
              <w:spacing w:line="480" w:lineRule="auto"/>
            </w:pPr>
          </w:p>
        </w:tc>
      </w:tr>
      <w:tr w:rsidR="005C6EC8" w:rsidRPr="003416A7" w:rsidTr="009C483F">
        <w:trPr>
          <w:cantSplit/>
          <w:jc w:val="center"/>
        </w:trPr>
        <w:tc>
          <w:tcPr>
            <w:tcW w:w="1065" w:type="dxa"/>
            <w:tcBorders>
              <w:top w:val="single" w:sz="6" w:space="0" w:color="000000"/>
              <w:left w:val="double" w:sz="4" w:space="0" w:color="auto"/>
              <w:bottom w:val="single" w:sz="6" w:space="0" w:color="000000"/>
              <w:right w:val="single" w:sz="6" w:space="0" w:color="000000"/>
            </w:tcBorders>
            <w:vAlign w:val="center"/>
          </w:tcPr>
          <w:p w:rsidR="005C6EC8" w:rsidRPr="003416A7" w:rsidRDefault="005C6EC8" w:rsidP="00C43400">
            <w:pPr>
              <w:spacing w:line="480" w:lineRule="auto"/>
            </w:pPr>
          </w:p>
        </w:tc>
        <w:tc>
          <w:tcPr>
            <w:tcW w:w="7290" w:type="dxa"/>
            <w:tcBorders>
              <w:top w:val="single" w:sz="6" w:space="0" w:color="000000"/>
              <w:left w:val="single" w:sz="6" w:space="0" w:color="000000"/>
              <w:bottom w:val="single" w:sz="6" w:space="0" w:color="000000"/>
              <w:right w:val="single" w:sz="6" w:space="0" w:color="000000"/>
            </w:tcBorders>
            <w:hideMark/>
          </w:tcPr>
          <w:p w:rsidR="005C6EC8" w:rsidRPr="003416A7" w:rsidRDefault="005C6EC8" w:rsidP="00C43400">
            <w:pPr>
              <w:spacing w:line="480" w:lineRule="auto"/>
            </w:pPr>
            <w:r w:rsidRPr="003416A7">
              <w:t>All registered UST systems</w:t>
            </w:r>
          </w:p>
        </w:tc>
        <w:tc>
          <w:tcPr>
            <w:tcW w:w="1260" w:type="dxa"/>
            <w:tcBorders>
              <w:top w:val="single" w:sz="6" w:space="0" w:color="000000"/>
              <w:left w:val="single" w:sz="6" w:space="0" w:color="000000"/>
              <w:bottom w:val="single" w:sz="6" w:space="0" w:color="000000"/>
              <w:right w:val="double" w:sz="4" w:space="0" w:color="auto"/>
            </w:tcBorders>
            <w:vAlign w:val="center"/>
          </w:tcPr>
          <w:p w:rsidR="005C6EC8" w:rsidRPr="003416A7" w:rsidRDefault="005C6EC8" w:rsidP="00C43400">
            <w:pPr>
              <w:spacing w:line="480" w:lineRule="auto"/>
            </w:pPr>
            <w:r w:rsidRPr="003416A7">
              <w:t>$60</w:t>
            </w:r>
          </w:p>
        </w:tc>
      </w:tr>
      <w:tr w:rsidR="005C6EC8" w:rsidRPr="003416A7" w:rsidTr="009C483F">
        <w:trPr>
          <w:cantSplit/>
          <w:jc w:val="center"/>
        </w:trPr>
        <w:tc>
          <w:tcPr>
            <w:tcW w:w="1065" w:type="dxa"/>
            <w:tcBorders>
              <w:top w:val="single" w:sz="6" w:space="0" w:color="000000"/>
              <w:left w:val="double" w:sz="4" w:space="0" w:color="auto"/>
              <w:bottom w:val="single" w:sz="6" w:space="0" w:color="000000"/>
              <w:right w:val="single" w:sz="6" w:space="0" w:color="000000"/>
            </w:tcBorders>
            <w:shd w:val="clear" w:color="auto" w:fill="D9D9D9" w:themeFill="background1" w:themeFillShade="D9"/>
            <w:vAlign w:val="center"/>
            <w:hideMark/>
          </w:tcPr>
          <w:p w:rsidR="005C6EC8" w:rsidRPr="003416A7" w:rsidRDefault="005C6EC8" w:rsidP="00C43400">
            <w:pPr>
              <w:spacing w:line="480" w:lineRule="auto"/>
            </w:pPr>
            <w:r w:rsidRPr="003416A7">
              <w:t>2</w:t>
            </w:r>
          </w:p>
        </w:tc>
        <w:tc>
          <w:tcPr>
            <w:tcW w:w="72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5C6EC8" w:rsidRPr="003416A7" w:rsidRDefault="005C6EC8" w:rsidP="00C43400">
            <w:pPr>
              <w:spacing w:line="480" w:lineRule="auto"/>
            </w:pPr>
            <w:r w:rsidRPr="003416A7">
              <w:t>Annual Maintenance and Monitoring Fees</w:t>
            </w:r>
          </w:p>
        </w:tc>
        <w:tc>
          <w:tcPr>
            <w:tcW w:w="1260" w:type="dxa"/>
            <w:tcBorders>
              <w:top w:val="single" w:sz="6" w:space="0" w:color="000000"/>
              <w:left w:val="single" w:sz="6" w:space="0" w:color="000000"/>
              <w:bottom w:val="single" w:sz="6" w:space="0" w:color="000000"/>
              <w:right w:val="double" w:sz="4" w:space="0" w:color="auto"/>
            </w:tcBorders>
            <w:shd w:val="clear" w:color="auto" w:fill="D9D9D9" w:themeFill="background1" w:themeFillShade="D9"/>
            <w:vAlign w:val="center"/>
            <w:hideMark/>
          </w:tcPr>
          <w:p w:rsidR="005C6EC8" w:rsidRPr="003416A7" w:rsidRDefault="005C6EC8" w:rsidP="00C43400">
            <w:pPr>
              <w:spacing w:line="480" w:lineRule="auto"/>
            </w:pPr>
          </w:p>
        </w:tc>
      </w:tr>
      <w:tr w:rsidR="005C6EC8" w:rsidRPr="003416A7" w:rsidTr="009C483F">
        <w:trPr>
          <w:cantSplit/>
          <w:jc w:val="center"/>
        </w:trPr>
        <w:tc>
          <w:tcPr>
            <w:tcW w:w="1065" w:type="dxa"/>
            <w:tcBorders>
              <w:top w:val="single" w:sz="6" w:space="0" w:color="000000"/>
              <w:left w:val="double" w:sz="4" w:space="0" w:color="auto"/>
              <w:bottom w:val="single" w:sz="6" w:space="0" w:color="000000"/>
              <w:right w:val="single" w:sz="6" w:space="0" w:color="000000"/>
            </w:tcBorders>
            <w:vAlign w:val="center"/>
            <w:hideMark/>
          </w:tcPr>
          <w:p w:rsidR="005C6EC8" w:rsidRPr="003416A7" w:rsidRDefault="005C6EC8" w:rsidP="00C43400">
            <w:pPr>
              <w:spacing w:line="480" w:lineRule="auto"/>
            </w:pPr>
            <w:r w:rsidRPr="003416A7">
              <w:t>a</w:t>
            </w:r>
          </w:p>
        </w:tc>
        <w:tc>
          <w:tcPr>
            <w:tcW w:w="7290" w:type="dxa"/>
            <w:tcBorders>
              <w:top w:val="single" w:sz="6" w:space="0" w:color="000000"/>
              <w:left w:val="single" w:sz="6" w:space="0" w:color="000000"/>
              <w:bottom w:val="single" w:sz="6" w:space="0" w:color="000000"/>
              <w:right w:val="single" w:sz="6" w:space="0" w:color="000000"/>
            </w:tcBorders>
            <w:hideMark/>
          </w:tcPr>
          <w:p w:rsidR="005C6EC8" w:rsidRPr="003416A7" w:rsidRDefault="005C6EC8" w:rsidP="00C43400">
            <w:pPr>
              <w:spacing w:line="276" w:lineRule="auto"/>
            </w:pPr>
            <w:r w:rsidRPr="003416A7">
              <w:t>UST systems at federal facilities (all categories except USTs defined in Fee Number 2.b., which shall be assessed the higher fee)</w:t>
            </w:r>
          </w:p>
        </w:tc>
        <w:tc>
          <w:tcPr>
            <w:tcW w:w="1260" w:type="dxa"/>
            <w:tcBorders>
              <w:top w:val="single" w:sz="6" w:space="0" w:color="000000"/>
              <w:left w:val="single" w:sz="6" w:space="0" w:color="000000"/>
              <w:bottom w:val="single" w:sz="6" w:space="0" w:color="000000"/>
              <w:right w:val="double" w:sz="4" w:space="0" w:color="auto"/>
            </w:tcBorders>
            <w:vAlign w:val="center"/>
            <w:hideMark/>
          </w:tcPr>
          <w:p w:rsidR="005C6EC8" w:rsidRPr="003416A7" w:rsidRDefault="005C6EC8" w:rsidP="00C43400">
            <w:pPr>
              <w:spacing w:line="480" w:lineRule="auto"/>
            </w:pPr>
            <w:r w:rsidRPr="003416A7">
              <w:t>$174</w:t>
            </w:r>
          </w:p>
        </w:tc>
      </w:tr>
      <w:tr w:rsidR="005C6EC8" w:rsidRPr="003416A7" w:rsidTr="009C483F">
        <w:trPr>
          <w:cantSplit/>
          <w:jc w:val="center"/>
        </w:trPr>
        <w:tc>
          <w:tcPr>
            <w:tcW w:w="1065" w:type="dxa"/>
            <w:tcBorders>
              <w:top w:val="single" w:sz="6" w:space="0" w:color="000000"/>
              <w:left w:val="double" w:sz="4" w:space="0" w:color="auto"/>
              <w:bottom w:val="single" w:sz="6" w:space="0" w:color="000000"/>
              <w:right w:val="single" w:sz="6" w:space="0" w:color="000000"/>
            </w:tcBorders>
            <w:vAlign w:val="center"/>
            <w:hideMark/>
          </w:tcPr>
          <w:p w:rsidR="005C6EC8" w:rsidRPr="003416A7" w:rsidRDefault="005C6EC8" w:rsidP="00C43400">
            <w:pPr>
              <w:spacing w:line="480" w:lineRule="auto"/>
            </w:pPr>
            <w:r w:rsidRPr="003416A7">
              <w:t>b</w:t>
            </w:r>
          </w:p>
        </w:tc>
        <w:tc>
          <w:tcPr>
            <w:tcW w:w="7290" w:type="dxa"/>
            <w:tcBorders>
              <w:top w:val="single" w:sz="6" w:space="0" w:color="000000"/>
              <w:left w:val="single" w:sz="6" w:space="0" w:color="000000"/>
              <w:bottom w:val="single" w:sz="6" w:space="0" w:color="000000"/>
              <w:right w:val="single" w:sz="6" w:space="0" w:color="000000"/>
            </w:tcBorders>
            <w:hideMark/>
          </w:tcPr>
          <w:p w:rsidR="005C6EC8" w:rsidRPr="003416A7" w:rsidRDefault="005C6EC8" w:rsidP="00C43400">
            <w:pPr>
              <w:spacing w:line="276" w:lineRule="auto"/>
            </w:pPr>
            <w:r w:rsidRPr="003416A7">
              <w:t>UST systems containing any substance defined in section 101(14) of the Comprehensive Environmental Response, Compensation, and Liability Act (CERCLA) of 1980 (but not including any substance regulated as hazardous waste under the department’s Hazardous Waste Regulations, LAC 33:V.Subpart 1)</w:t>
            </w:r>
          </w:p>
        </w:tc>
        <w:tc>
          <w:tcPr>
            <w:tcW w:w="1260" w:type="dxa"/>
            <w:tcBorders>
              <w:top w:val="single" w:sz="6" w:space="0" w:color="000000"/>
              <w:left w:val="single" w:sz="6" w:space="0" w:color="000000"/>
              <w:bottom w:val="single" w:sz="6" w:space="0" w:color="000000"/>
              <w:right w:val="double" w:sz="4" w:space="0" w:color="auto"/>
            </w:tcBorders>
            <w:vAlign w:val="center"/>
            <w:hideMark/>
          </w:tcPr>
          <w:p w:rsidR="005C6EC8" w:rsidRPr="003416A7" w:rsidRDefault="005C6EC8" w:rsidP="00C43400">
            <w:pPr>
              <w:spacing w:line="480" w:lineRule="auto"/>
            </w:pPr>
            <w:r w:rsidRPr="003416A7">
              <w:t>$726</w:t>
            </w:r>
          </w:p>
        </w:tc>
      </w:tr>
      <w:tr w:rsidR="005C6EC8" w:rsidRPr="003416A7" w:rsidTr="009C483F">
        <w:trPr>
          <w:cantSplit/>
          <w:jc w:val="center"/>
        </w:trPr>
        <w:tc>
          <w:tcPr>
            <w:tcW w:w="1065" w:type="dxa"/>
            <w:tcBorders>
              <w:top w:val="single" w:sz="6" w:space="0" w:color="000000"/>
              <w:left w:val="double" w:sz="4" w:space="0" w:color="auto"/>
              <w:bottom w:val="single" w:sz="6" w:space="0" w:color="000000"/>
              <w:right w:val="single" w:sz="6" w:space="0" w:color="000000"/>
            </w:tcBorders>
            <w:vAlign w:val="center"/>
            <w:hideMark/>
          </w:tcPr>
          <w:p w:rsidR="005C6EC8" w:rsidRPr="003416A7" w:rsidRDefault="005C6EC8" w:rsidP="00C43400">
            <w:pPr>
              <w:spacing w:line="480" w:lineRule="auto"/>
            </w:pPr>
            <w:r w:rsidRPr="003416A7">
              <w:t>c</w:t>
            </w:r>
          </w:p>
        </w:tc>
        <w:tc>
          <w:tcPr>
            <w:tcW w:w="7290" w:type="dxa"/>
            <w:tcBorders>
              <w:top w:val="single" w:sz="6" w:space="0" w:color="000000"/>
              <w:left w:val="single" w:sz="6" w:space="0" w:color="000000"/>
              <w:bottom w:val="single" w:sz="6" w:space="0" w:color="000000"/>
              <w:right w:val="single" w:sz="6" w:space="0" w:color="000000"/>
            </w:tcBorders>
            <w:hideMark/>
          </w:tcPr>
          <w:p w:rsidR="005C6EC8" w:rsidRPr="003416A7" w:rsidRDefault="005C6EC8" w:rsidP="00C43400">
            <w:pPr>
              <w:spacing w:line="276" w:lineRule="auto"/>
            </w:pPr>
            <w:r w:rsidRPr="003416A7">
              <w:t>UST systems containing petroleum products not meeting the definition of motor fuels</w:t>
            </w:r>
          </w:p>
        </w:tc>
        <w:tc>
          <w:tcPr>
            <w:tcW w:w="1260" w:type="dxa"/>
            <w:tcBorders>
              <w:top w:val="single" w:sz="6" w:space="0" w:color="000000"/>
              <w:left w:val="single" w:sz="6" w:space="0" w:color="000000"/>
              <w:bottom w:val="single" w:sz="6" w:space="0" w:color="000000"/>
              <w:right w:val="double" w:sz="4" w:space="0" w:color="auto"/>
            </w:tcBorders>
            <w:vAlign w:val="center"/>
            <w:hideMark/>
          </w:tcPr>
          <w:p w:rsidR="005C6EC8" w:rsidRPr="003416A7" w:rsidRDefault="005C6EC8" w:rsidP="00C43400">
            <w:pPr>
              <w:spacing w:line="480" w:lineRule="auto"/>
            </w:pPr>
            <w:r w:rsidRPr="003416A7">
              <w:t>$174</w:t>
            </w:r>
          </w:p>
        </w:tc>
      </w:tr>
      <w:tr w:rsidR="005C6EC8" w:rsidRPr="003416A7" w:rsidTr="009C483F">
        <w:trPr>
          <w:cantSplit/>
          <w:jc w:val="center"/>
        </w:trPr>
        <w:tc>
          <w:tcPr>
            <w:tcW w:w="1065" w:type="dxa"/>
            <w:tcBorders>
              <w:top w:val="single" w:sz="6" w:space="0" w:color="000000"/>
              <w:left w:val="double" w:sz="4" w:space="0" w:color="auto"/>
              <w:bottom w:val="single" w:sz="6" w:space="0" w:color="000000"/>
              <w:right w:val="single" w:sz="6" w:space="0" w:color="000000"/>
            </w:tcBorders>
            <w:shd w:val="clear" w:color="auto" w:fill="D9D9D9" w:themeFill="background1" w:themeFillShade="D9"/>
            <w:vAlign w:val="center"/>
          </w:tcPr>
          <w:p w:rsidR="005C6EC8" w:rsidRPr="003416A7" w:rsidRDefault="005C6EC8" w:rsidP="00C43400">
            <w:pPr>
              <w:spacing w:line="480" w:lineRule="auto"/>
            </w:pPr>
            <w:r w:rsidRPr="003416A7">
              <w:t>3</w:t>
            </w:r>
          </w:p>
        </w:tc>
        <w:tc>
          <w:tcPr>
            <w:tcW w:w="72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5C6EC8" w:rsidRPr="003416A7" w:rsidRDefault="005C6EC8" w:rsidP="00C43400">
            <w:pPr>
              <w:spacing w:line="276" w:lineRule="auto"/>
            </w:pPr>
            <w:r w:rsidRPr="003416A7">
              <w:t>Motor Fuels Underground Storage Tank Trust Fund Fee</w:t>
            </w:r>
          </w:p>
        </w:tc>
        <w:tc>
          <w:tcPr>
            <w:tcW w:w="1260" w:type="dxa"/>
            <w:tcBorders>
              <w:top w:val="single" w:sz="6" w:space="0" w:color="000000"/>
              <w:left w:val="single" w:sz="6" w:space="0" w:color="000000"/>
              <w:bottom w:val="single" w:sz="6" w:space="0" w:color="000000"/>
              <w:right w:val="double" w:sz="4" w:space="0" w:color="auto"/>
            </w:tcBorders>
            <w:shd w:val="clear" w:color="auto" w:fill="D9D9D9" w:themeFill="background1" w:themeFillShade="D9"/>
            <w:vAlign w:val="center"/>
          </w:tcPr>
          <w:p w:rsidR="005C6EC8" w:rsidRPr="003416A7" w:rsidRDefault="005C6EC8" w:rsidP="00C43400">
            <w:pPr>
              <w:spacing w:line="480" w:lineRule="auto"/>
            </w:pPr>
          </w:p>
        </w:tc>
      </w:tr>
      <w:tr w:rsidR="005C6EC8" w:rsidRPr="003416A7" w:rsidTr="009C483F">
        <w:trPr>
          <w:cantSplit/>
          <w:jc w:val="center"/>
        </w:trPr>
        <w:tc>
          <w:tcPr>
            <w:tcW w:w="1065" w:type="dxa"/>
            <w:tcBorders>
              <w:top w:val="single" w:sz="6" w:space="0" w:color="000000"/>
              <w:left w:val="double" w:sz="4" w:space="0" w:color="auto"/>
              <w:bottom w:val="double" w:sz="4" w:space="0" w:color="auto"/>
              <w:right w:val="single" w:sz="6" w:space="0" w:color="000000"/>
            </w:tcBorders>
            <w:vAlign w:val="center"/>
          </w:tcPr>
          <w:p w:rsidR="005C6EC8" w:rsidRPr="003416A7" w:rsidRDefault="005C6EC8" w:rsidP="00C43400">
            <w:pPr>
              <w:spacing w:line="480" w:lineRule="auto"/>
            </w:pPr>
          </w:p>
        </w:tc>
        <w:tc>
          <w:tcPr>
            <w:tcW w:w="7290" w:type="dxa"/>
            <w:tcBorders>
              <w:top w:val="single" w:sz="6" w:space="0" w:color="000000"/>
              <w:left w:val="single" w:sz="6" w:space="0" w:color="000000"/>
              <w:bottom w:val="double" w:sz="4" w:space="0" w:color="auto"/>
              <w:right w:val="single" w:sz="6" w:space="0" w:color="000000"/>
            </w:tcBorders>
          </w:tcPr>
          <w:p w:rsidR="005C6EC8" w:rsidRPr="003416A7" w:rsidRDefault="005C6EC8" w:rsidP="00C43400">
            <w:pPr>
              <w:spacing w:line="276" w:lineRule="auto"/>
            </w:pPr>
            <w:r w:rsidRPr="003416A7">
              <w:t>UST systems containing new or used motor oil (except USTs identified in LAC 33:XI.1101.C and D)</w:t>
            </w:r>
          </w:p>
        </w:tc>
        <w:tc>
          <w:tcPr>
            <w:tcW w:w="1260" w:type="dxa"/>
            <w:tcBorders>
              <w:top w:val="single" w:sz="6" w:space="0" w:color="000000"/>
              <w:left w:val="single" w:sz="6" w:space="0" w:color="000000"/>
              <w:bottom w:val="double" w:sz="4" w:space="0" w:color="auto"/>
              <w:right w:val="double" w:sz="4" w:space="0" w:color="auto"/>
            </w:tcBorders>
            <w:vAlign w:val="center"/>
          </w:tcPr>
          <w:p w:rsidR="005C6EC8" w:rsidRPr="00D6343F" w:rsidRDefault="005C6EC8" w:rsidP="00C43400">
            <w:pPr>
              <w:spacing w:line="480" w:lineRule="auto"/>
              <w:rPr>
                <w:highlight w:val="yellow"/>
              </w:rPr>
            </w:pPr>
            <w:r w:rsidRPr="00D6343F">
              <w:t>$</w:t>
            </w:r>
            <w:r w:rsidRPr="00D6343F">
              <w:rPr>
                <w:strike/>
              </w:rPr>
              <w:t>303</w:t>
            </w:r>
            <w:r w:rsidRPr="00D6343F">
              <w:rPr>
                <w:u w:val="single"/>
              </w:rPr>
              <w:t>275</w:t>
            </w:r>
          </w:p>
        </w:tc>
      </w:tr>
    </w:tbl>
    <w:p w:rsidR="005C6EC8" w:rsidRPr="003416A7" w:rsidRDefault="005C6EC8" w:rsidP="00C43400">
      <w:pPr>
        <w:spacing w:line="480" w:lineRule="auto"/>
      </w:pPr>
    </w:p>
    <w:p w:rsidR="005C6EC8" w:rsidRDefault="00425786" w:rsidP="00425786">
      <w:pPr>
        <w:tabs>
          <w:tab w:val="clear" w:pos="1080"/>
          <w:tab w:val="clear" w:pos="1440"/>
          <w:tab w:val="clear" w:pos="2160"/>
          <w:tab w:val="clear" w:pos="2520"/>
        </w:tabs>
        <w:spacing w:line="480" w:lineRule="auto"/>
      </w:pPr>
      <w:r>
        <w:tab/>
      </w:r>
      <w:r w:rsidR="005C6EC8" w:rsidRPr="003416A7">
        <w:t>C.</w:t>
      </w:r>
      <w:r w:rsidR="00C43400" w:rsidRPr="001E3E14">
        <w:t xml:space="preserve"> </w:t>
      </w:r>
      <w:r>
        <w:t>—</w:t>
      </w:r>
      <w:r w:rsidR="00C43400">
        <w:t xml:space="preserve"> </w:t>
      </w:r>
      <w:r>
        <w:t>F.</w:t>
      </w:r>
      <w:r>
        <w:tab/>
      </w:r>
      <w:r w:rsidR="00C43400">
        <w:t>…</w:t>
      </w:r>
    </w:p>
    <w:p w:rsidR="005C6EC8" w:rsidRPr="00425786" w:rsidRDefault="00425786" w:rsidP="00425786">
      <w:pPr>
        <w:pStyle w:val="Subtitle"/>
        <w:tabs>
          <w:tab w:val="clear" w:pos="180"/>
          <w:tab w:val="clear" w:pos="720"/>
          <w:tab w:val="clear" w:pos="1080"/>
          <w:tab w:val="clear" w:pos="1440"/>
          <w:tab w:val="clear" w:pos="1800"/>
          <w:tab w:val="clear" w:pos="2160"/>
          <w:tab w:val="clear" w:pos="2520"/>
          <w:tab w:val="left" w:pos="288"/>
        </w:tabs>
        <w:rPr>
          <w:sz w:val="24"/>
          <w:szCs w:val="24"/>
        </w:rPr>
      </w:pPr>
      <w:r>
        <w:rPr>
          <w:sz w:val="24"/>
          <w:szCs w:val="24"/>
        </w:rPr>
        <w:tab/>
      </w:r>
      <w:r w:rsidR="005C6EC8" w:rsidRPr="00425786">
        <w:rPr>
          <w:sz w:val="24"/>
          <w:szCs w:val="24"/>
        </w:rPr>
        <w:t>AUTHORITY NOTE:</w:t>
      </w:r>
      <w:r w:rsidR="005C6EC8" w:rsidRPr="00425786">
        <w:rPr>
          <w:sz w:val="24"/>
          <w:szCs w:val="24"/>
        </w:rPr>
        <w:tab/>
        <w:t>Promulgated in accordance with R.S. 30:2001, 2014, 2195, and 2195.3 et seq., and R.S. 49:316.1(A)(2)(a) and (c).</w:t>
      </w:r>
    </w:p>
    <w:p w:rsidR="00E701C5" w:rsidRPr="00425786" w:rsidRDefault="00425786" w:rsidP="00425786">
      <w:pPr>
        <w:pStyle w:val="Subtitle"/>
        <w:tabs>
          <w:tab w:val="clear" w:pos="180"/>
          <w:tab w:val="clear" w:pos="720"/>
          <w:tab w:val="clear" w:pos="1080"/>
          <w:tab w:val="clear" w:pos="1440"/>
          <w:tab w:val="clear" w:pos="1800"/>
          <w:tab w:val="clear" w:pos="2160"/>
          <w:tab w:val="clear" w:pos="2520"/>
          <w:tab w:val="left" w:pos="288"/>
        </w:tabs>
        <w:rPr>
          <w:sz w:val="24"/>
          <w:szCs w:val="24"/>
        </w:rPr>
      </w:pPr>
      <w:r>
        <w:rPr>
          <w:sz w:val="24"/>
          <w:szCs w:val="24"/>
        </w:rPr>
        <w:tab/>
      </w:r>
      <w:r w:rsidR="005C6EC8" w:rsidRPr="00425786">
        <w:rPr>
          <w:sz w:val="24"/>
          <w:szCs w:val="24"/>
        </w:rPr>
        <w:t>HISTORICAL NOTE:</w:t>
      </w:r>
      <w:r w:rsidR="005C6EC8" w:rsidRPr="00425786">
        <w:rPr>
          <w:sz w:val="24"/>
          <w:szCs w:val="24"/>
        </w:rPr>
        <w:tab/>
        <w:t xml:space="preserve">Promulgated by the Department of Environmental Quality, Office of Solid and Hazardous Waste, Underground Storage Tank Division, LR 11:1139 (December 1985), amended LR 16:614 (July 1990), LR 17:658 (July 1991), LR 18:727 (July 1992), amended by the Office of Management and Finance, Fiscal Services Division, LR 22:19 (January 1996), LR 25:427 (March 1999), amended by the Office of Environmental Assessment, Environmental Planning Division, LR 25:2400 (December 1999), LR 29:690 </w:t>
      </w:r>
      <w:r w:rsidR="005C6EC8" w:rsidRPr="00425786">
        <w:rPr>
          <w:sz w:val="24"/>
          <w:szCs w:val="24"/>
        </w:rPr>
        <w:lastRenderedPageBreak/>
        <w:t>(May 2003), LR 29:2052 (October 2003), amended by the Office of the Secretary, Legal Affairs Division, LR 35:2181 (October 2009), amended by the Office of the Secretary, Legal Division, LR 43:950 (May 2017), amended by the Office of the Secretary, Legal Affairs and Criminal Investigations Division, LR 44:1597 (September 2018)</w:t>
      </w:r>
      <w:r w:rsidR="002F1208" w:rsidRPr="00425786">
        <w:rPr>
          <w:sz w:val="24"/>
          <w:szCs w:val="24"/>
        </w:rPr>
        <w:t>, amended by LR:4</w:t>
      </w:r>
      <w:r>
        <w:rPr>
          <w:sz w:val="24"/>
          <w:szCs w:val="24"/>
        </w:rPr>
        <w:t>5</w:t>
      </w:r>
    </w:p>
    <w:sectPr w:rsidR="00E701C5" w:rsidRPr="00425786" w:rsidSect="002F1208">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A9C" w:rsidRDefault="00C81A9C" w:rsidP="00C43400">
      <w:r>
        <w:separator/>
      </w:r>
    </w:p>
  </w:endnote>
  <w:endnote w:type="continuationSeparator" w:id="0">
    <w:p w:rsidR="00C81A9C" w:rsidRDefault="00C81A9C" w:rsidP="00C4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15136"/>
      <w:docPartObj>
        <w:docPartGallery w:val="Page Numbers (Bottom of Page)"/>
        <w:docPartUnique/>
      </w:docPartObj>
    </w:sdtPr>
    <w:sdtEndPr>
      <w:rPr>
        <w:noProof/>
      </w:rPr>
    </w:sdtEndPr>
    <w:sdtContent>
      <w:p w:rsidR="00C43400" w:rsidRDefault="00C43400">
        <w:pPr>
          <w:pStyle w:val="Footer"/>
          <w:jc w:val="center"/>
        </w:pPr>
        <w:r>
          <w:fldChar w:fldCharType="begin"/>
        </w:r>
        <w:r>
          <w:instrText xml:space="preserve"> PAGE   \* MERGEFORMAT </w:instrText>
        </w:r>
        <w:r>
          <w:fldChar w:fldCharType="separate"/>
        </w:r>
        <w:r w:rsidR="00E74591">
          <w:rPr>
            <w:noProof/>
          </w:rPr>
          <w:t>1</w:t>
        </w:r>
        <w:r>
          <w:rPr>
            <w:noProof/>
          </w:rPr>
          <w:fldChar w:fldCharType="end"/>
        </w:r>
      </w:p>
    </w:sdtContent>
  </w:sdt>
  <w:p w:rsidR="00C43400" w:rsidRDefault="00C43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A9C" w:rsidRDefault="00C81A9C" w:rsidP="00C43400">
      <w:r>
        <w:separator/>
      </w:r>
    </w:p>
  </w:footnote>
  <w:footnote w:type="continuationSeparator" w:id="0">
    <w:p w:rsidR="00C81A9C" w:rsidRDefault="00C81A9C" w:rsidP="00C4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400" w:rsidRPr="00425786" w:rsidRDefault="00757859" w:rsidP="00A84AC3">
    <w:pPr>
      <w:tabs>
        <w:tab w:val="right" w:pos="10350"/>
      </w:tabs>
      <w:spacing w:after="120" w:line="240" w:lineRule="exact"/>
      <w:rPr>
        <w:bCs/>
        <w:kern w:val="2"/>
      </w:rPr>
    </w:pPr>
    <w:r>
      <w:rPr>
        <w:bCs/>
        <w:kern w:val="2"/>
      </w:rPr>
      <w:t>Final/ May 20, 2019</w:t>
    </w:r>
    <w:r>
      <w:rPr>
        <w:bCs/>
        <w:kern w:val="2"/>
      </w:rPr>
      <w:tab/>
    </w:r>
    <w:r>
      <w:rPr>
        <w:bCs/>
        <w:kern w:val="2"/>
      </w:rPr>
      <w:tab/>
    </w:r>
    <w:r w:rsidR="00C43400" w:rsidRPr="00425786">
      <w:rPr>
        <w:bCs/>
        <w:kern w:val="2"/>
      </w:rPr>
      <w:tab/>
      <w:t>UT019</w:t>
    </w:r>
  </w:p>
  <w:p w:rsidR="00C43400" w:rsidRDefault="00C43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C8"/>
    <w:rsid w:val="000A5C63"/>
    <w:rsid w:val="001E3BDD"/>
    <w:rsid w:val="002748FB"/>
    <w:rsid w:val="002F1208"/>
    <w:rsid w:val="00425786"/>
    <w:rsid w:val="00442435"/>
    <w:rsid w:val="004F2239"/>
    <w:rsid w:val="005C6EC8"/>
    <w:rsid w:val="00757859"/>
    <w:rsid w:val="009C483F"/>
    <w:rsid w:val="00A84AC3"/>
    <w:rsid w:val="00C43400"/>
    <w:rsid w:val="00C81A9C"/>
    <w:rsid w:val="00D6343F"/>
    <w:rsid w:val="00E701C5"/>
    <w:rsid w:val="00E7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D70B3-A13B-412A-8912-5F36F6EF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C8"/>
    <w:pPr>
      <w:tabs>
        <w:tab w:val="left" w:pos="720"/>
        <w:tab w:val="left" w:pos="1080"/>
        <w:tab w:val="left" w:pos="1440"/>
        <w:tab w:val="left" w:pos="1800"/>
        <w:tab w:val="left" w:pos="2160"/>
        <w:tab w:val="left" w:pos="2520"/>
      </w:tabs>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34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6EC8"/>
    <w:pPr>
      <w:keepNext/>
      <w:keepLines/>
      <w:tabs>
        <w:tab w:val="clear" w:pos="720"/>
        <w:tab w:val="clear" w:pos="1080"/>
        <w:tab w:val="clear" w:pos="1440"/>
        <w:tab w:val="clear" w:pos="1800"/>
        <w:tab w:val="clear" w:pos="2160"/>
        <w:tab w:val="clear" w:pos="2520"/>
      </w:tabs>
      <w:ind w:left="0" w:firstLine="0"/>
      <w:jc w:val="center"/>
      <w:outlineLvl w:val="1"/>
    </w:pPr>
    <w:rPr>
      <w:b/>
      <w:color w:val="000000"/>
      <w:kern w:val="2"/>
    </w:rPr>
  </w:style>
  <w:style w:type="paragraph" w:styleId="Heading3">
    <w:name w:val="heading 3"/>
    <w:basedOn w:val="Normal"/>
    <w:next w:val="Normal"/>
    <w:link w:val="Heading3Char"/>
    <w:uiPriority w:val="9"/>
    <w:semiHidden/>
    <w:unhideWhenUsed/>
    <w:qFormat/>
    <w:rsid w:val="005C6EC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3"/>
    <w:next w:val="Normal"/>
    <w:link w:val="Heading4Char"/>
    <w:qFormat/>
    <w:rsid w:val="005C6EC8"/>
    <w:pPr>
      <w:tabs>
        <w:tab w:val="clear" w:pos="720"/>
        <w:tab w:val="clear" w:pos="1080"/>
        <w:tab w:val="clear" w:pos="1440"/>
        <w:tab w:val="clear" w:pos="1800"/>
        <w:tab w:val="clear" w:pos="2160"/>
        <w:tab w:val="clear" w:pos="2520"/>
        <w:tab w:val="left" w:pos="1350"/>
        <w:tab w:val="left" w:pos="1620"/>
      </w:tabs>
      <w:spacing w:before="0"/>
      <w:ind w:left="0" w:firstLine="0"/>
      <w:outlineLvl w:val="3"/>
    </w:pPr>
    <w:rPr>
      <w:rFonts w:ascii="Times New Roman" w:eastAsia="Times New Roman" w:hAnsi="Times New Roman" w:cs="Times New Roman"/>
      <w:b/>
      <w:color w:val="000000"/>
      <w:kern w:val="2"/>
    </w:rPr>
  </w:style>
  <w:style w:type="paragraph" w:styleId="Heading5">
    <w:name w:val="heading 5"/>
    <w:basedOn w:val="Normal"/>
    <w:next w:val="Normal"/>
    <w:link w:val="Heading5Char"/>
    <w:qFormat/>
    <w:rsid w:val="005C6EC8"/>
    <w:pPr>
      <w:tabs>
        <w:tab w:val="left" w:pos="810"/>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6EC8"/>
    <w:rPr>
      <w:rFonts w:ascii="Times New Roman" w:eastAsia="Times New Roman" w:hAnsi="Times New Roman" w:cs="Times New Roman"/>
      <w:b/>
      <w:color w:val="000000"/>
      <w:kern w:val="2"/>
      <w:sz w:val="24"/>
      <w:szCs w:val="24"/>
    </w:rPr>
  </w:style>
  <w:style w:type="character" w:customStyle="1" w:styleId="Heading4Char">
    <w:name w:val="Heading 4 Char"/>
    <w:basedOn w:val="DefaultParagraphFont"/>
    <w:link w:val="Heading4"/>
    <w:rsid w:val="005C6EC8"/>
    <w:rPr>
      <w:rFonts w:ascii="Times New Roman" w:eastAsia="Times New Roman" w:hAnsi="Times New Roman" w:cs="Times New Roman"/>
      <w:b/>
      <w:color w:val="000000"/>
      <w:kern w:val="2"/>
      <w:sz w:val="24"/>
      <w:szCs w:val="24"/>
    </w:rPr>
  </w:style>
  <w:style w:type="character" w:customStyle="1" w:styleId="Heading5Char">
    <w:name w:val="Heading 5 Char"/>
    <w:basedOn w:val="DefaultParagraphFont"/>
    <w:link w:val="Heading5"/>
    <w:rsid w:val="005C6EC8"/>
    <w:rPr>
      <w:rFonts w:ascii="Times New Roman" w:eastAsia="Times New Roman" w:hAnsi="Times New Roman" w:cs="Times New Roman"/>
      <w:b/>
      <w:sz w:val="24"/>
      <w:szCs w:val="24"/>
    </w:rPr>
  </w:style>
  <w:style w:type="paragraph" w:styleId="Subtitle">
    <w:name w:val="Subtitle"/>
    <w:basedOn w:val="Normal"/>
    <w:next w:val="Normal"/>
    <w:link w:val="SubtitleChar"/>
    <w:qFormat/>
    <w:rsid w:val="005C6EC8"/>
    <w:pPr>
      <w:tabs>
        <w:tab w:val="left" w:pos="180"/>
      </w:tabs>
      <w:ind w:left="0" w:firstLine="0"/>
    </w:pPr>
    <w:rPr>
      <w:sz w:val="20"/>
      <w:szCs w:val="20"/>
    </w:rPr>
  </w:style>
  <w:style w:type="character" w:customStyle="1" w:styleId="SubtitleChar">
    <w:name w:val="Subtitle Char"/>
    <w:basedOn w:val="DefaultParagraphFont"/>
    <w:link w:val="Subtitle"/>
    <w:rsid w:val="005C6EC8"/>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C6EC8"/>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4340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43400"/>
    <w:pPr>
      <w:tabs>
        <w:tab w:val="clear" w:pos="720"/>
        <w:tab w:val="clear" w:pos="1080"/>
        <w:tab w:val="clear" w:pos="1440"/>
        <w:tab w:val="clear" w:pos="1800"/>
        <w:tab w:val="clear" w:pos="2160"/>
        <w:tab w:val="clear" w:pos="2520"/>
        <w:tab w:val="center" w:pos="4680"/>
        <w:tab w:val="right" w:pos="9360"/>
      </w:tabs>
    </w:pPr>
  </w:style>
  <w:style w:type="character" w:customStyle="1" w:styleId="HeaderChar">
    <w:name w:val="Header Char"/>
    <w:basedOn w:val="DefaultParagraphFont"/>
    <w:link w:val="Header"/>
    <w:uiPriority w:val="99"/>
    <w:rsid w:val="00C434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400"/>
    <w:pPr>
      <w:tabs>
        <w:tab w:val="clear" w:pos="720"/>
        <w:tab w:val="clear" w:pos="1080"/>
        <w:tab w:val="clear" w:pos="1440"/>
        <w:tab w:val="clear" w:pos="1800"/>
        <w:tab w:val="clear" w:pos="2160"/>
        <w:tab w:val="clear" w:pos="2520"/>
        <w:tab w:val="center" w:pos="4680"/>
        <w:tab w:val="right" w:pos="9360"/>
      </w:tabs>
    </w:pPr>
  </w:style>
  <w:style w:type="character" w:customStyle="1" w:styleId="FooterChar">
    <w:name w:val="Footer Char"/>
    <w:basedOn w:val="DefaultParagraphFont"/>
    <w:link w:val="Footer"/>
    <w:uiPriority w:val="99"/>
    <w:rsid w:val="00C434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34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4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Dequeant</dc:creator>
  <cp:keywords/>
  <dc:description/>
  <cp:lastModifiedBy>Laura Almond</cp:lastModifiedBy>
  <cp:revision>2</cp:revision>
  <cp:lastPrinted>2018-11-27T15:55:00Z</cp:lastPrinted>
  <dcterms:created xsi:type="dcterms:W3CDTF">2019-05-09T19:53:00Z</dcterms:created>
  <dcterms:modified xsi:type="dcterms:W3CDTF">2019-05-09T19:53:00Z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UFAAvEwl4JN4QvwfiRQbt4D5vrZtOkcti+WqvdJt42OHMjnNn7dXVhLkrQVZNdFudfV0xY6+Uk4fJmOA
8FfORQQN00Ot2blfiYR9H3+N4g68Crpz6VkomxQnnRXnO/q1/YsMPqnhbNlVsOqVghAPk3btF3qO
AJ4o47UIPLOKHtsgoLi+yHM0+AGDvVeJ5qvqO0N6NsHFjYn5OH2v3lFkwtmToxyrjIF0uuYdZBKp
/jqgV+X1VxhRO8CUV</vt:lpwstr>
  </property>
  <property fmtid="{D5CDD505-2E9C-101B-9397-08002B2CF9AE}" pid="3" name="MAIL_MSG_ID2">
    <vt:lpwstr>StCTknnflZ85GgIrIFgCmOBO9j5atXeIFG3V5mIFdmyismOtm16NSN9myWZ
r80X958PfzZtl6RBRn0CHAylKRY=</vt:lpwstr>
  </property>
  <property fmtid="{D5CDD505-2E9C-101B-9397-08002B2CF9AE}" pid="4" name="RESPONSE_SENDER_NAME">
    <vt:lpwstr>gAAAFrATEITNPliXj06OZelaSw3zXSNHJzwy</vt:lpwstr>
  </property>
  <property fmtid="{D5CDD505-2E9C-101B-9397-08002B2CF9AE}" pid="5" name="EMAIL_OWNER_ADDRESS">
    <vt:lpwstr>4AAA4Lxe55UJ0C/ti1SdEvXyJ/DNYroEbiR2MSYGXRHLBkrZCc0+b4CMyQ==</vt:lpwstr>
  </property>
</Properties>
</file>