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04" w:rsidRDefault="00364604" w:rsidP="00364604">
      <w:pPr>
        <w:pStyle w:val="Title"/>
      </w:pPr>
      <w:bookmarkStart w:id="0" w:name="_GoBack"/>
      <w:bookmarkEnd w:id="0"/>
      <w:r>
        <w:t>NOTICE OF INTENT</w:t>
      </w:r>
    </w:p>
    <w:p w:rsidR="00364604" w:rsidRDefault="00364604" w:rsidP="00364604">
      <w:pPr>
        <w:jc w:val="center"/>
      </w:pPr>
    </w:p>
    <w:p w:rsidR="00364604" w:rsidRDefault="00364604" w:rsidP="00364604">
      <w:pPr>
        <w:jc w:val="center"/>
      </w:pPr>
      <w:r>
        <w:t>Department of Environmental Quality</w:t>
      </w:r>
    </w:p>
    <w:p w:rsidR="00364604" w:rsidRDefault="00364604" w:rsidP="00364604">
      <w:pPr>
        <w:jc w:val="center"/>
      </w:pPr>
      <w:r>
        <w:t>Office of the Secretary</w:t>
      </w:r>
    </w:p>
    <w:p w:rsidR="00364604" w:rsidRDefault="00364604" w:rsidP="00364604">
      <w:pPr>
        <w:jc w:val="center"/>
      </w:pPr>
      <w:r>
        <w:t>Legal Affairs and Criminal Investigations Division</w:t>
      </w:r>
    </w:p>
    <w:p w:rsidR="00364604" w:rsidRDefault="00364604" w:rsidP="00364604">
      <w:pPr>
        <w:jc w:val="center"/>
      </w:pPr>
    </w:p>
    <w:p w:rsidR="00364604" w:rsidRDefault="00364604" w:rsidP="00364604">
      <w:pPr>
        <w:jc w:val="center"/>
      </w:pPr>
      <w:r w:rsidRPr="006D7DF9">
        <w:rPr>
          <w:noProof/>
        </w:rPr>
        <w:t>UST New and Used Motor Oil Storage Fee Correction</w:t>
      </w:r>
    </w:p>
    <w:p w:rsidR="00364604" w:rsidRDefault="00364604" w:rsidP="00364604">
      <w:pPr>
        <w:jc w:val="center"/>
      </w:pPr>
      <w:r>
        <w:t>(</w:t>
      </w:r>
      <w:r w:rsidRPr="006D7DF9">
        <w:rPr>
          <w:noProof/>
        </w:rPr>
        <w:t>LAC 33:XI.307</w:t>
      </w:r>
      <w:r>
        <w:t>) (</w:t>
      </w:r>
      <w:r w:rsidRPr="006D7DF9">
        <w:rPr>
          <w:noProof/>
        </w:rPr>
        <w:t>UT019</w:t>
      </w:r>
      <w:r>
        <w:t>)</w:t>
      </w:r>
    </w:p>
    <w:p w:rsidR="00364604" w:rsidRDefault="00364604" w:rsidP="00364604">
      <w:pPr>
        <w:jc w:val="center"/>
      </w:pPr>
    </w:p>
    <w:p w:rsidR="00364604" w:rsidRDefault="00364604" w:rsidP="00364604">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6D7DF9">
        <w:rPr>
          <w:noProof/>
        </w:rPr>
        <w:t>Underground Storage Tanks</w:t>
      </w:r>
      <w:r>
        <w:t xml:space="preserve"> regulations, </w:t>
      </w:r>
      <w:r w:rsidRPr="006D7DF9">
        <w:rPr>
          <w:noProof/>
        </w:rPr>
        <w:t>LAC 33:XI.307</w:t>
      </w:r>
      <w:r>
        <w:t xml:space="preserve"> (</w:t>
      </w:r>
      <w:r w:rsidRPr="006D7DF9">
        <w:rPr>
          <w:noProof/>
        </w:rPr>
        <w:t>UT019</w:t>
      </w:r>
      <w:r>
        <w:t>).</w:t>
      </w:r>
    </w:p>
    <w:p w:rsidR="00364604" w:rsidRDefault="00364604" w:rsidP="00364604"/>
    <w:p w:rsidR="00364604" w:rsidRDefault="00364604" w:rsidP="00364604">
      <w:r>
        <w:tab/>
      </w:r>
      <w:r w:rsidRPr="006D7DF9">
        <w:rPr>
          <w:noProof/>
        </w:rPr>
        <w:t>This Rule will correct the fee for storing new or used motor oil in underground storage tanks. R.S 30:2195.3 specifies a fee of $275 for this storage.  Act 451 of the 2016 Regular Legislative Session authorized certain fee increases, new fees</w:t>
      </w:r>
      <w:r>
        <w:rPr>
          <w:noProof/>
        </w:rPr>
        <w:t>,</w:t>
      </w:r>
      <w:r w:rsidRPr="006D7DF9">
        <w:rPr>
          <w:noProof/>
        </w:rPr>
        <w:t xml:space="preserve"> and other changes to the regulations pertaining to fees</w:t>
      </w:r>
      <w:r>
        <w:rPr>
          <w:noProof/>
        </w:rPr>
        <w:t>.</w:t>
      </w:r>
      <w:r w:rsidRPr="006D7DF9">
        <w:rPr>
          <w:noProof/>
        </w:rPr>
        <w:t xml:space="preserve">  A change to the fee for storing new or used motor oil in an underground storage tank found in R.S. 30:2195.3 was not in</w:t>
      </w:r>
      <w:r>
        <w:rPr>
          <w:noProof/>
        </w:rPr>
        <w:t>c</w:t>
      </w:r>
      <w:r w:rsidRPr="006D7DF9">
        <w:rPr>
          <w:noProof/>
        </w:rPr>
        <w:t>luded in Act 451.  This correction will make the fee in the regulation match the fee in the statute.</w:t>
      </w:r>
      <w:r>
        <w:t xml:space="preserve">  </w:t>
      </w:r>
      <w:r w:rsidRPr="006D7DF9">
        <w:rPr>
          <w:noProof/>
        </w:rPr>
        <w:t>The basis and rationale for this rule are to implement the fee specified in R.S. 30:2195.3</w:t>
      </w:r>
      <w:r>
        <w:rPr>
          <w:noProof/>
        </w:rPr>
        <w:t>.</w:t>
      </w:r>
      <w:r>
        <w:t xml:space="preserve">  This Rule meets an exception listed in R.S. 30:2019(D)(2) and R.S. 49:953(G)(3); therefore, no report regarding environmental/health benefits and social/economic costs is required. </w:t>
      </w:r>
    </w:p>
    <w:p w:rsidR="00364604" w:rsidRDefault="00364604" w:rsidP="00364604"/>
    <w:p w:rsidR="00364604" w:rsidRDefault="00364604" w:rsidP="00364604">
      <w:pPr>
        <w:jc w:val="center"/>
      </w:pPr>
      <w:r>
        <w:rPr>
          <w:b/>
        </w:rPr>
        <w:t>Family Impact Statement</w:t>
      </w:r>
    </w:p>
    <w:p w:rsidR="00364604" w:rsidRDefault="00364604" w:rsidP="00364604">
      <w:pPr>
        <w:ind w:firstLine="720"/>
      </w:pPr>
      <w:r>
        <w:t xml:space="preserve">This Rule has no known impact on family formation, stability, and autonomy as described in R.S. 49:972. </w:t>
      </w:r>
    </w:p>
    <w:p w:rsidR="00364604" w:rsidRDefault="00364604" w:rsidP="00364604">
      <w:pPr>
        <w:ind w:firstLine="720"/>
        <w:jc w:val="center"/>
      </w:pPr>
      <w:r>
        <w:rPr>
          <w:b/>
        </w:rPr>
        <w:t>Poverty Impact Statement</w:t>
      </w:r>
    </w:p>
    <w:p w:rsidR="00364604" w:rsidRDefault="00364604" w:rsidP="00364604">
      <w:pPr>
        <w:ind w:firstLine="720"/>
        <w:rPr>
          <w:color w:val="000000"/>
          <w:szCs w:val="24"/>
        </w:rPr>
      </w:pPr>
      <w:r w:rsidRPr="00DA67A2">
        <w:rPr>
          <w:szCs w:val="24"/>
        </w:rPr>
        <w:t xml:space="preserve">This </w:t>
      </w:r>
      <w:r>
        <w:rPr>
          <w:szCs w:val="24"/>
        </w:rPr>
        <w:t>R</w:t>
      </w:r>
      <w:r w:rsidRPr="00DA67A2">
        <w:rPr>
          <w:szCs w:val="24"/>
        </w:rPr>
        <w:t xml:space="preserve">ule has no known impact on </w:t>
      </w:r>
      <w:r w:rsidRPr="00DA67A2">
        <w:rPr>
          <w:color w:val="000000"/>
          <w:szCs w:val="24"/>
        </w:rPr>
        <w:t xml:space="preserve">poverty </w:t>
      </w:r>
      <w:r>
        <w:rPr>
          <w:color w:val="000000"/>
          <w:szCs w:val="24"/>
        </w:rPr>
        <w:t>as described in R.S. 49:973.</w:t>
      </w:r>
    </w:p>
    <w:p w:rsidR="00364604" w:rsidRDefault="00364604" w:rsidP="00364604">
      <w:pPr>
        <w:ind w:firstLine="720"/>
        <w:rPr>
          <w:color w:val="000000"/>
          <w:szCs w:val="24"/>
        </w:rPr>
      </w:pPr>
    </w:p>
    <w:p w:rsidR="00364604" w:rsidRDefault="00364604" w:rsidP="00364604">
      <w:pPr>
        <w:ind w:firstLine="720"/>
        <w:jc w:val="center"/>
        <w:rPr>
          <w:color w:val="000000"/>
          <w:szCs w:val="24"/>
        </w:rPr>
      </w:pPr>
      <w:r w:rsidRPr="00217563">
        <w:rPr>
          <w:b/>
          <w:color w:val="000000"/>
          <w:szCs w:val="24"/>
        </w:rPr>
        <w:t>Provider Impact Statement</w:t>
      </w:r>
    </w:p>
    <w:p w:rsidR="00364604" w:rsidRPr="00E36F02" w:rsidRDefault="00364604" w:rsidP="00364604">
      <w:pPr>
        <w:ind w:firstLine="720"/>
        <w:rPr>
          <w:szCs w:val="24"/>
        </w:rPr>
      </w:pPr>
      <w:r w:rsidRPr="00E36F02">
        <w:rPr>
          <w:color w:val="000000"/>
          <w:szCs w:val="24"/>
        </w:rPr>
        <w:t xml:space="preserve">This </w:t>
      </w:r>
      <w:r>
        <w:rPr>
          <w:color w:val="000000"/>
          <w:szCs w:val="24"/>
        </w:rPr>
        <w:t>R</w:t>
      </w:r>
      <w:r w:rsidRPr="00E36F02">
        <w:rPr>
          <w:color w:val="000000"/>
          <w:szCs w:val="24"/>
        </w:rPr>
        <w:t>ule has no known impact on providers as described in HCR 170 of 2014.</w:t>
      </w:r>
    </w:p>
    <w:p w:rsidR="00364604" w:rsidRDefault="00364604" w:rsidP="00364604"/>
    <w:p w:rsidR="00364604" w:rsidRPr="00217563" w:rsidRDefault="00364604" w:rsidP="00364604">
      <w:pPr>
        <w:jc w:val="center"/>
        <w:rPr>
          <w:b/>
        </w:rPr>
      </w:pPr>
      <w:r w:rsidRPr="00217563">
        <w:rPr>
          <w:b/>
        </w:rPr>
        <w:t>Public Comments</w:t>
      </w:r>
    </w:p>
    <w:p w:rsidR="00364604" w:rsidRDefault="00364604" w:rsidP="00364604">
      <w:r>
        <w:tab/>
        <w:t xml:space="preserve">All interested persons are invited to submit written comments on the proposed regulation. Persons commenting should reference this proposed regulation by </w:t>
      </w:r>
      <w:r w:rsidRPr="006D7DF9">
        <w:rPr>
          <w:noProof/>
        </w:rPr>
        <w:t>UT019</w:t>
      </w:r>
      <w:r>
        <w:t xml:space="preserve">.  Such comments must be received no later than </w:t>
      </w:r>
      <w:r>
        <w:rPr>
          <w:noProof/>
        </w:rPr>
        <w:t>March 8, 2019</w:t>
      </w:r>
      <w:r>
        <w:t xml:space="preserve">, at 4:30 p.m., and should be sent to Deidra Johnson, Attorney Supervisor, </w:t>
      </w:r>
      <w:r w:rsidRPr="00503D28">
        <w:rPr>
          <w:szCs w:val="24"/>
        </w:rPr>
        <w:t xml:space="preserve">Office of the Secretary, </w:t>
      </w:r>
      <w:r>
        <w:t>Legal Affairs and Criminal Investigations Division</w:t>
      </w:r>
      <w:r w:rsidRPr="00503D28">
        <w:rPr>
          <w:szCs w:val="24"/>
        </w:rPr>
        <w:t xml:space="preserve">, </w:t>
      </w:r>
      <w:r>
        <w:rPr>
          <w:szCs w:val="24"/>
        </w:rPr>
        <w:t xml:space="preserve">P.O. </w:t>
      </w:r>
      <w:r w:rsidRPr="00503D28">
        <w:rPr>
          <w:szCs w:val="24"/>
        </w:rPr>
        <w:t>Box 4302, Baton Rouge, LA 70821-4302</w:t>
      </w:r>
      <w:r>
        <w:rPr>
          <w:szCs w:val="24"/>
        </w:rPr>
        <w:t>,</w:t>
      </w:r>
      <w:r>
        <w:t xml:space="preserve"> or by fax (225) 219-4068 or by e-mail to deidra.johnson@la.gov.  Copies of these proposed regulations can be purchased by contacting the DEQ Public Records Center at (225) 219-3168.  A check or money order is required in advance for each copy of </w:t>
      </w:r>
      <w:r w:rsidRPr="006D7DF9">
        <w:rPr>
          <w:noProof/>
        </w:rPr>
        <w:t>UT019</w:t>
      </w:r>
      <w:r>
        <w:t xml:space="preserve">. These proposed regulations are available on the Internet at </w:t>
      </w:r>
      <w:r w:rsidRPr="00286680">
        <w:t>www.deq.louisiana.gov/portal/tabid/1669/default.aspx</w:t>
      </w:r>
      <w:r>
        <w:t>.</w:t>
      </w:r>
      <w:r w:rsidRPr="00217563">
        <w:t xml:space="preserve"> </w:t>
      </w:r>
    </w:p>
    <w:p w:rsidR="00364604" w:rsidRDefault="00364604" w:rsidP="00364604"/>
    <w:p w:rsidR="00364604" w:rsidRDefault="00364604" w:rsidP="00364604">
      <w:pPr>
        <w:jc w:val="center"/>
      </w:pPr>
      <w:r w:rsidRPr="00217563">
        <w:rPr>
          <w:b/>
        </w:rPr>
        <w:t>Public Hearing</w:t>
      </w:r>
    </w:p>
    <w:p w:rsidR="00364604" w:rsidRDefault="00364604" w:rsidP="00364604">
      <w:pPr>
        <w:ind w:firstLine="720"/>
      </w:pPr>
      <w:r>
        <w:t xml:space="preserve">A public hearing will be held on </w:t>
      </w:r>
      <w:r>
        <w:rPr>
          <w:noProof/>
        </w:rPr>
        <w:t>March 1, 2019</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smartTag w:uri="urn:schemas-microsoft-com:office:smarttags" w:element="address">
        <w:smartTag w:uri="urn:schemas-microsoft-com:office:smarttags" w:element="Street">
          <w:r>
            <w:t>602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9F2E04">
        <w:rPr>
          <w:szCs w:val="24"/>
        </w:rPr>
        <w:t>Two hours of free parking are allowed</w:t>
      </w:r>
      <w:r>
        <w:rPr>
          <w:szCs w:val="24"/>
        </w:rPr>
        <w:t xml:space="preserve"> </w:t>
      </w:r>
      <w:r>
        <w:rPr>
          <w:szCs w:val="24"/>
        </w:rPr>
        <w:lastRenderedPageBreak/>
        <w:t>in the Galvez Garage with a validated parking ticket.</w:t>
      </w:r>
    </w:p>
    <w:p w:rsidR="00364604" w:rsidRDefault="00364604" w:rsidP="00364604"/>
    <w:p w:rsidR="00364604" w:rsidRDefault="00364604" w:rsidP="00364604">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Barataria Street, Lockport, LA 70374; </w:t>
      </w:r>
      <w:r>
        <w:rPr>
          <w:szCs w:val="24"/>
        </w:rPr>
        <w:t>201 Evans Road, Bldg. 4, Suite 420, New Orleans, LA  70123</w:t>
      </w:r>
      <w:r>
        <w:t>.</w:t>
      </w:r>
    </w:p>
    <w:p w:rsidR="00364604" w:rsidRDefault="00364604" w:rsidP="00364604"/>
    <w:p w:rsidR="00364604" w:rsidRDefault="00364604" w:rsidP="00364604">
      <w:r>
        <w:tab/>
      </w:r>
      <w:r>
        <w:tab/>
      </w:r>
      <w:r>
        <w:tab/>
      </w:r>
      <w:r>
        <w:tab/>
      </w:r>
      <w:r>
        <w:tab/>
      </w:r>
      <w:r>
        <w:tab/>
        <w:t>Herman Robinson</w:t>
      </w:r>
    </w:p>
    <w:p w:rsidR="00364604" w:rsidRDefault="00364604" w:rsidP="00364604">
      <w:pPr>
        <w:sectPr w:rsidR="00364604" w:rsidSect="00CA7CB8">
          <w:type w:val="continuous"/>
          <w:pgSz w:w="12240" w:h="15840" w:code="1"/>
          <w:pgMar w:top="1008" w:right="1440" w:bottom="1008" w:left="1440" w:header="720" w:footer="720" w:gutter="0"/>
          <w:pgNumType w:start="1"/>
          <w:cols w:space="720"/>
          <w:docGrid w:linePitch="326"/>
        </w:sectPr>
      </w:pPr>
      <w:r>
        <w:tab/>
      </w:r>
      <w:r>
        <w:tab/>
      </w:r>
      <w:r>
        <w:tab/>
      </w:r>
      <w:r>
        <w:tab/>
      </w:r>
      <w:r>
        <w:tab/>
      </w:r>
      <w:r>
        <w:tab/>
        <w:t>General Counsel</w:t>
      </w:r>
    </w:p>
    <w:p w:rsidR="00364604" w:rsidRPr="00364604" w:rsidRDefault="00364604" w:rsidP="00364604">
      <w:pPr>
        <w:jc w:val="center"/>
        <w:rPr>
          <w:b/>
          <w:snapToGrid/>
          <w:szCs w:val="24"/>
        </w:rPr>
      </w:pPr>
      <w:bookmarkStart w:id="1" w:name="TOC_Chap7"/>
      <w:r w:rsidRPr="00364604">
        <w:rPr>
          <w:b/>
          <w:snapToGrid/>
          <w:szCs w:val="24"/>
        </w:rPr>
        <w:t>Title 33</w:t>
      </w:r>
    </w:p>
    <w:p w:rsidR="00364604" w:rsidRPr="00364604" w:rsidRDefault="00364604" w:rsidP="00364604">
      <w:pPr>
        <w:widowControl/>
        <w:tabs>
          <w:tab w:val="left" w:pos="720"/>
          <w:tab w:val="left" w:pos="1080"/>
          <w:tab w:val="left" w:pos="1440"/>
          <w:tab w:val="left" w:pos="1800"/>
          <w:tab w:val="left" w:pos="2160"/>
          <w:tab w:val="left" w:pos="2520"/>
        </w:tabs>
        <w:ind w:left="720" w:hanging="720"/>
        <w:jc w:val="center"/>
        <w:rPr>
          <w:b/>
          <w:snapToGrid/>
          <w:szCs w:val="24"/>
        </w:rPr>
      </w:pPr>
      <w:r w:rsidRPr="00364604">
        <w:rPr>
          <w:b/>
          <w:snapToGrid/>
          <w:szCs w:val="24"/>
        </w:rPr>
        <w:t>ENVIRONMENTAL QUALITY</w:t>
      </w:r>
    </w:p>
    <w:p w:rsidR="00364604" w:rsidRPr="00364604" w:rsidRDefault="00364604" w:rsidP="00364604">
      <w:pPr>
        <w:keepNext/>
        <w:keepLines/>
        <w:widowControl/>
        <w:spacing w:line="360" w:lineRule="auto"/>
        <w:jc w:val="center"/>
        <w:outlineLvl w:val="1"/>
        <w:rPr>
          <w:b/>
          <w:snapToGrid/>
          <w:color w:val="000000"/>
          <w:kern w:val="2"/>
          <w:szCs w:val="24"/>
        </w:rPr>
      </w:pPr>
      <w:r w:rsidRPr="00364604">
        <w:rPr>
          <w:b/>
          <w:snapToGrid/>
          <w:color w:val="000000"/>
          <w:kern w:val="2"/>
          <w:szCs w:val="24"/>
        </w:rPr>
        <w:t>Part XI.  Underground Storage Tanks</w:t>
      </w:r>
    </w:p>
    <w:p w:rsidR="00364604" w:rsidRPr="00364604" w:rsidRDefault="00364604" w:rsidP="00364604">
      <w:pPr>
        <w:keepNext/>
        <w:keepLines/>
        <w:widowControl/>
        <w:tabs>
          <w:tab w:val="left" w:pos="1350"/>
          <w:tab w:val="left" w:pos="1620"/>
        </w:tabs>
        <w:spacing w:line="360" w:lineRule="auto"/>
        <w:outlineLvl w:val="3"/>
        <w:rPr>
          <w:b/>
          <w:snapToGrid/>
          <w:color w:val="000000"/>
          <w:kern w:val="2"/>
          <w:szCs w:val="24"/>
        </w:rPr>
      </w:pPr>
      <w:r w:rsidRPr="00364604">
        <w:rPr>
          <w:b/>
          <w:snapToGrid/>
          <w:color w:val="000000"/>
          <w:kern w:val="2"/>
          <w:szCs w:val="24"/>
        </w:rPr>
        <w:t>Chapter 3.</w:t>
      </w:r>
      <w:bookmarkStart w:id="2" w:name="TOCT_Chap7"/>
      <w:bookmarkEnd w:id="1"/>
      <w:r w:rsidRPr="00364604">
        <w:rPr>
          <w:b/>
          <w:snapToGrid/>
          <w:color w:val="000000"/>
          <w:kern w:val="2"/>
          <w:szCs w:val="24"/>
        </w:rPr>
        <w:tab/>
        <w:t>Registration Requirements, Standards, and Fee Schedule</w:t>
      </w:r>
      <w:bookmarkEnd w:id="2"/>
    </w:p>
    <w:p w:rsidR="00364604" w:rsidRPr="00364604" w:rsidRDefault="00364604" w:rsidP="00364604">
      <w:pPr>
        <w:widowControl/>
        <w:tabs>
          <w:tab w:val="left" w:pos="720"/>
          <w:tab w:val="left" w:pos="810"/>
          <w:tab w:val="left" w:pos="1080"/>
          <w:tab w:val="left" w:pos="1440"/>
          <w:tab w:val="left" w:pos="1800"/>
          <w:tab w:val="left" w:pos="2160"/>
          <w:tab w:val="left" w:pos="2520"/>
        </w:tabs>
        <w:spacing w:line="480" w:lineRule="auto"/>
        <w:ind w:left="720" w:hanging="720"/>
        <w:outlineLvl w:val="4"/>
        <w:rPr>
          <w:b/>
          <w:snapToGrid/>
          <w:szCs w:val="24"/>
        </w:rPr>
      </w:pPr>
      <w:bookmarkStart w:id="3" w:name="TOC_Sect73"/>
      <w:r w:rsidRPr="00364604">
        <w:rPr>
          <w:b/>
          <w:snapToGrid/>
          <w:szCs w:val="24"/>
        </w:rPr>
        <w:t>§307.</w:t>
      </w:r>
      <w:r w:rsidRPr="00364604">
        <w:rPr>
          <w:b/>
          <w:snapToGrid/>
          <w:szCs w:val="24"/>
        </w:rPr>
        <w:tab/>
        <w:t>Fee Schedule</w:t>
      </w:r>
      <w:bookmarkEnd w:id="3"/>
    </w:p>
    <w:p w:rsidR="00364604" w:rsidRPr="00364604" w:rsidRDefault="00364604" w:rsidP="00364604">
      <w:pPr>
        <w:widowControl/>
        <w:tabs>
          <w:tab w:val="left" w:pos="720"/>
        </w:tabs>
        <w:spacing w:line="480" w:lineRule="auto"/>
        <w:rPr>
          <w:snapToGrid/>
          <w:szCs w:val="24"/>
        </w:rPr>
      </w:pPr>
      <w:r w:rsidRPr="00364604">
        <w:rPr>
          <w:snapToGrid/>
          <w:szCs w:val="24"/>
        </w:rPr>
        <w:tab/>
        <w:t>A. — B.3.</w:t>
      </w:r>
      <w:r w:rsidRPr="00364604">
        <w:rPr>
          <w:snapToGrid/>
          <w:szCs w:val="24"/>
        </w:rPr>
        <w:tab/>
        <w:t>…</w:t>
      </w:r>
    </w:p>
    <w:p w:rsidR="00364604" w:rsidRPr="00364604" w:rsidRDefault="00364604" w:rsidP="00364604">
      <w:pPr>
        <w:widowControl/>
        <w:tabs>
          <w:tab w:val="left" w:pos="720"/>
        </w:tabs>
        <w:spacing w:line="480" w:lineRule="auto"/>
        <w:rPr>
          <w:snapToGrid/>
          <w:szCs w:val="24"/>
        </w:rPr>
      </w:pPr>
      <w:r w:rsidRPr="00364604">
        <w:rPr>
          <w:snapToGrid/>
          <w:szCs w:val="24"/>
        </w:rPr>
        <w:tab/>
      </w:r>
      <w:r w:rsidRPr="00364604">
        <w:rPr>
          <w:snapToGrid/>
          <w:szCs w:val="24"/>
        </w:rPr>
        <w:tab/>
        <w:t>4.</w:t>
      </w:r>
      <w:r w:rsidRPr="00364604">
        <w:rPr>
          <w:snapToGrid/>
          <w:szCs w:val="24"/>
        </w:rPr>
        <w:tab/>
        <w:t>Fees are assessed according to the following schedule.</w:t>
      </w:r>
    </w:p>
    <w:tbl>
      <w:tblPr>
        <w:tblW w:w="9615"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1065"/>
        <w:gridCol w:w="7290"/>
        <w:gridCol w:w="1260"/>
      </w:tblGrid>
      <w:tr w:rsidR="00364604" w:rsidRPr="00364604" w:rsidTr="00CE2A43">
        <w:trPr>
          <w:cantSplit/>
          <w:jc w:val="center"/>
        </w:trPr>
        <w:tc>
          <w:tcPr>
            <w:tcW w:w="1065" w:type="dxa"/>
            <w:tcBorders>
              <w:top w:val="double" w:sz="4" w:space="0" w:color="auto"/>
              <w:left w:val="double" w:sz="4" w:space="0" w:color="auto"/>
              <w:bottom w:val="single" w:sz="6" w:space="0" w:color="000000"/>
              <w:right w:val="single" w:sz="6" w:space="0" w:color="000000"/>
            </w:tcBorders>
            <w:shd w:val="clear" w:color="auto" w:fill="D9D9D9" w:themeFill="background1" w:themeFillShade="D9"/>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Fee</w:t>
            </w:r>
          </w:p>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Number</w:t>
            </w:r>
          </w:p>
        </w:tc>
        <w:tc>
          <w:tcPr>
            <w:tcW w:w="7290" w:type="dxa"/>
            <w:tcBorders>
              <w:top w:val="doub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Annual Fees</w:t>
            </w:r>
          </w:p>
        </w:tc>
        <w:tc>
          <w:tcPr>
            <w:tcW w:w="1260" w:type="dxa"/>
            <w:tcBorders>
              <w:top w:val="double" w:sz="4" w:space="0" w:color="auto"/>
              <w:left w:val="single" w:sz="6" w:space="0" w:color="000000"/>
              <w:bottom w:val="single" w:sz="6" w:space="0" w:color="000000"/>
              <w:right w:val="double" w:sz="4" w:space="0" w:color="auto"/>
            </w:tcBorders>
            <w:shd w:val="clear" w:color="auto" w:fill="D9D9D9" w:themeFill="background1" w:themeFillShade="D9"/>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Amount</w:t>
            </w:r>
          </w:p>
        </w:tc>
      </w:tr>
      <w:tr w:rsidR="00364604" w:rsidRPr="00364604" w:rsidTr="00CE2A43">
        <w:trPr>
          <w:cantSplit/>
          <w:jc w:val="center"/>
        </w:trPr>
        <w:tc>
          <w:tcPr>
            <w:tcW w:w="1065" w:type="dxa"/>
            <w:tcBorders>
              <w:top w:val="single" w:sz="6" w:space="0" w:color="000000"/>
              <w:left w:val="double" w:sz="4" w:space="0" w:color="auto"/>
              <w:bottom w:val="single" w:sz="6" w:space="0" w:color="000000"/>
              <w:right w:val="single" w:sz="6" w:space="0" w:color="000000"/>
            </w:tcBorders>
            <w:shd w:val="clear" w:color="auto" w:fill="D9D9D9" w:themeFill="background1" w:themeFillShade="D9"/>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1</w:t>
            </w:r>
          </w:p>
        </w:tc>
        <w:tc>
          <w:tcPr>
            <w:tcW w:w="72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Annual Registration Fee</w:t>
            </w:r>
          </w:p>
        </w:tc>
        <w:tc>
          <w:tcPr>
            <w:tcW w:w="1260" w:type="dxa"/>
            <w:tcBorders>
              <w:top w:val="single" w:sz="6" w:space="0" w:color="000000"/>
              <w:left w:val="single" w:sz="6" w:space="0" w:color="000000"/>
              <w:bottom w:val="single" w:sz="6" w:space="0" w:color="000000"/>
              <w:right w:val="double" w:sz="4" w:space="0" w:color="auto"/>
            </w:tcBorders>
            <w:shd w:val="clear" w:color="auto" w:fill="D9D9D9" w:themeFill="background1" w:themeFillShade="D9"/>
            <w:vAlign w:val="center"/>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p>
        </w:tc>
      </w:tr>
      <w:tr w:rsidR="00364604" w:rsidRPr="00364604" w:rsidTr="00CE2A43">
        <w:trPr>
          <w:cantSplit/>
          <w:jc w:val="center"/>
        </w:trPr>
        <w:tc>
          <w:tcPr>
            <w:tcW w:w="1065" w:type="dxa"/>
            <w:tcBorders>
              <w:top w:val="single" w:sz="6" w:space="0" w:color="000000"/>
              <w:left w:val="double" w:sz="4" w:space="0" w:color="auto"/>
              <w:bottom w:val="single" w:sz="6" w:space="0" w:color="000000"/>
              <w:right w:val="single" w:sz="6" w:space="0" w:color="000000"/>
            </w:tcBorders>
            <w:vAlign w:val="center"/>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p>
        </w:tc>
        <w:tc>
          <w:tcPr>
            <w:tcW w:w="7290" w:type="dxa"/>
            <w:tcBorders>
              <w:top w:val="single" w:sz="6" w:space="0" w:color="000000"/>
              <w:left w:val="single" w:sz="6" w:space="0" w:color="000000"/>
              <w:bottom w:val="single" w:sz="6" w:space="0" w:color="000000"/>
              <w:right w:val="single" w:sz="6" w:space="0" w:color="000000"/>
            </w:tcBorders>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All registered UST systems</w:t>
            </w:r>
          </w:p>
        </w:tc>
        <w:tc>
          <w:tcPr>
            <w:tcW w:w="1260" w:type="dxa"/>
            <w:tcBorders>
              <w:top w:val="single" w:sz="6" w:space="0" w:color="000000"/>
              <w:left w:val="single" w:sz="6" w:space="0" w:color="000000"/>
              <w:bottom w:val="single" w:sz="6" w:space="0" w:color="000000"/>
              <w:right w:val="double" w:sz="4" w:space="0" w:color="auto"/>
            </w:tcBorders>
            <w:vAlign w:val="center"/>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$60</w:t>
            </w:r>
          </w:p>
        </w:tc>
      </w:tr>
      <w:tr w:rsidR="00364604" w:rsidRPr="00364604" w:rsidTr="00CE2A43">
        <w:trPr>
          <w:cantSplit/>
          <w:jc w:val="center"/>
        </w:trPr>
        <w:tc>
          <w:tcPr>
            <w:tcW w:w="1065" w:type="dxa"/>
            <w:tcBorders>
              <w:top w:val="single" w:sz="6" w:space="0" w:color="000000"/>
              <w:left w:val="double" w:sz="4" w:space="0" w:color="auto"/>
              <w:bottom w:val="single" w:sz="6" w:space="0" w:color="000000"/>
              <w:right w:val="single" w:sz="6" w:space="0" w:color="000000"/>
            </w:tcBorders>
            <w:shd w:val="clear" w:color="auto" w:fill="D9D9D9" w:themeFill="background1" w:themeFillShade="D9"/>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2</w:t>
            </w:r>
          </w:p>
        </w:tc>
        <w:tc>
          <w:tcPr>
            <w:tcW w:w="72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Annual Maintenance and Monitoring Fees</w:t>
            </w:r>
          </w:p>
        </w:tc>
        <w:tc>
          <w:tcPr>
            <w:tcW w:w="1260" w:type="dxa"/>
            <w:tcBorders>
              <w:top w:val="single" w:sz="6" w:space="0" w:color="000000"/>
              <w:left w:val="single" w:sz="6" w:space="0" w:color="000000"/>
              <w:bottom w:val="single" w:sz="6" w:space="0" w:color="000000"/>
              <w:right w:val="double" w:sz="4" w:space="0" w:color="auto"/>
            </w:tcBorders>
            <w:shd w:val="clear" w:color="auto" w:fill="D9D9D9" w:themeFill="background1" w:themeFillShade="D9"/>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p>
        </w:tc>
      </w:tr>
      <w:tr w:rsidR="00364604" w:rsidRPr="00364604" w:rsidTr="00CE2A43">
        <w:trPr>
          <w:cantSplit/>
          <w:jc w:val="center"/>
        </w:trPr>
        <w:tc>
          <w:tcPr>
            <w:tcW w:w="1065" w:type="dxa"/>
            <w:tcBorders>
              <w:top w:val="single" w:sz="6" w:space="0" w:color="000000"/>
              <w:left w:val="double" w:sz="4" w:space="0" w:color="auto"/>
              <w:bottom w:val="single" w:sz="6" w:space="0" w:color="000000"/>
              <w:right w:val="single" w:sz="6" w:space="0" w:color="000000"/>
            </w:tcBorders>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a</w:t>
            </w:r>
          </w:p>
        </w:tc>
        <w:tc>
          <w:tcPr>
            <w:tcW w:w="7290" w:type="dxa"/>
            <w:tcBorders>
              <w:top w:val="single" w:sz="6" w:space="0" w:color="000000"/>
              <w:left w:val="single" w:sz="6" w:space="0" w:color="000000"/>
              <w:bottom w:val="single" w:sz="6" w:space="0" w:color="000000"/>
              <w:right w:val="single" w:sz="6" w:space="0" w:color="000000"/>
            </w:tcBorders>
            <w:hideMark/>
          </w:tcPr>
          <w:p w:rsidR="00364604" w:rsidRPr="00364604" w:rsidRDefault="00364604" w:rsidP="00364604">
            <w:pPr>
              <w:widowControl/>
              <w:tabs>
                <w:tab w:val="left" w:pos="720"/>
                <w:tab w:val="left" w:pos="1080"/>
                <w:tab w:val="left" w:pos="1440"/>
                <w:tab w:val="left" w:pos="1800"/>
                <w:tab w:val="left" w:pos="2160"/>
                <w:tab w:val="left" w:pos="2520"/>
              </w:tabs>
              <w:spacing w:line="276" w:lineRule="auto"/>
              <w:ind w:left="720" w:hanging="720"/>
              <w:rPr>
                <w:snapToGrid/>
                <w:szCs w:val="24"/>
              </w:rPr>
            </w:pPr>
            <w:r w:rsidRPr="00364604">
              <w:rPr>
                <w:snapToGrid/>
                <w:szCs w:val="24"/>
              </w:rPr>
              <w:t>UST systems at federal facilities (all categories except USTs defined in Fee Number 2.b., which shall be assessed the higher fee)</w:t>
            </w:r>
          </w:p>
        </w:tc>
        <w:tc>
          <w:tcPr>
            <w:tcW w:w="1260" w:type="dxa"/>
            <w:tcBorders>
              <w:top w:val="single" w:sz="6" w:space="0" w:color="000000"/>
              <w:left w:val="single" w:sz="6" w:space="0" w:color="000000"/>
              <w:bottom w:val="single" w:sz="6" w:space="0" w:color="000000"/>
              <w:right w:val="double" w:sz="4" w:space="0" w:color="auto"/>
            </w:tcBorders>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$174</w:t>
            </w:r>
          </w:p>
        </w:tc>
      </w:tr>
      <w:tr w:rsidR="00364604" w:rsidRPr="00364604" w:rsidTr="00CE2A43">
        <w:trPr>
          <w:cantSplit/>
          <w:jc w:val="center"/>
        </w:trPr>
        <w:tc>
          <w:tcPr>
            <w:tcW w:w="1065" w:type="dxa"/>
            <w:tcBorders>
              <w:top w:val="single" w:sz="6" w:space="0" w:color="000000"/>
              <w:left w:val="double" w:sz="4" w:space="0" w:color="auto"/>
              <w:bottom w:val="single" w:sz="6" w:space="0" w:color="000000"/>
              <w:right w:val="single" w:sz="6" w:space="0" w:color="000000"/>
            </w:tcBorders>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b</w:t>
            </w:r>
          </w:p>
        </w:tc>
        <w:tc>
          <w:tcPr>
            <w:tcW w:w="7290" w:type="dxa"/>
            <w:tcBorders>
              <w:top w:val="single" w:sz="6" w:space="0" w:color="000000"/>
              <w:left w:val="single" w:sz="6" w:space="0" w:color="000000"/>
              <w:bottom w:val="single" w:sz="6" w:space="0" w:color="000000"/>
              <w:right w:val="single" w:sz="6" w:space="0" w:color="000000"/>
            </w:tcBorders>
            <w:hideMark/>
          </w:tcPr>
          <w:p w:rsidR="00364604" w:rsidRPr="00364604" w:rsidRDefault="00364604" w:rsidP="00364604">
            <w:pPr>
              <w:widowControl/>
              <w:tabs>
                <w:tab w:val="left" w:pos="720"/>
                <w:tab w:val="left" w:pos="1080"/>
                <w:tab w:val="left" w:pos="1440"/>
                <w:tab w:val="left" w:pos="1800"/>
                <w:tab w:val="left" w:pos="2160"/>
                <w:tab w:val="left" w:pos="2520"/>
              </w:tabs>
              <w:spacing w:line="276" w:lineRule="auto"/>
              <w:ind w:left="720" w:hanging="720"/>
              <w:rPr>
                <w:snapToGrid/>
                <w:szCs w:val="24"/>
              </w:rPr>
            </w:pPr>
            <w:r w:rsidRPr="00364604">
              <w:rPr>
                <w:snapToGrid/>
                <w:szCs w:val="24"/>
              </w:rPr>
              <w:t>UST systems containing any substance defined in section 101(14) of the Comprehensive Environmental Response, Compensation, and Liability Act (CERCLA) of 1980 (but not including any substance regulated as hazardous waste under the department’s Hazardous Waste Regulations, LAC 33:V.Subpart 1)</w:t>
            </w:r>
          </w:p>
        </w:tc>
        <w:tc>
          <w:tcPr>
            <w:tcW w:w="1260" w:type="dxa"/>
            <w:tcBorders>
              <w:top w:val="single" w:sz="6" w:space="0" w:color="000000"/>
              <w:left w:val="single" w:sz="6" w:space="0" w:color="000000"/>
              <w:bottom w:val="single" w:sz="6" w:space="0" w:color="000000"/>
              <w:right w:val="double" w:sz="4" w:space="0" w:color="auto"/>
            </w:tcBorders>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$726</w:t>
            </w:r>
          </w:p>
        </w:tc>
      </w:tr>
      <w:tr w:rsidR="00364604" w:rsidRPr="00364604" w:rsidTr="00CE2A43">
        <w:trPr>
          <w:cantSplit/>
          <w:jc w:val="center"/>
        </w:trPr>
        <w:tc>
          <w:tcPr>
            <w:tcW w:w="1065" w:type="dxa"/>
            <w:tcBorders>
              <w:top w:val="single" w:sz="6" w:space="0" w:color="000000"/>
              <w:left w:val="double" w:sz="4" w:space="0" w:color="auto"/>
              <w:bottom w:val="single" w:sz="6" w:space="0" w:color="000000"/>
              <w:right w:val="single" w:sz="6" w:space="0" w:color="000000"/>
            </w:tcBorders>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c</w:t>
            </w:r>
          </w:p>
        </w:tc>
        <w:tc>
          <w:tcPr>
            <w:tcW w:w="7290" w:type="dxa"/>
            <w:tcBorders>
              <w:top w:val="single" w:sz="6" w:space="0" w:color="000000"/>
              <w:left w:val="single" w:sz="6" w:space="0" w:color="000000"/>
              <w:bottom w:val="single" w:sz="6" w:space="0" w:color="000000"/>
              <w:right w:val="single" w:sz="6" w:space="0" w:color="000000"/>
            </w:tcBorders>
            <w:hideMark/>
          </w:tcPr>
          <w:p w:rsidR="00364604" w:rsidRPr="00364604" w:rsidRDefault="00364604" w:rsidP="00364604">
            <w:pPr>
              <w:widowControl/>
              <w:tabs>
                <w:tab w:val="left" w:pos="720"/>
                <w:tab w:val="left" w:pos="1080"/>
                <w:tab w:val="left" w:pos="1440"/>
                <w:tab w:val="left" w:pos="1800"/>
                <w:tab w:val="left" w:pos="2160"/>
                <w:tab w:val="left" w:pos="2520"/>
              </w:tabs>
              <w:spacing w:line="276" w:lineRule="auto"/>
              <w:ind w:left="720" w:hanging="720"/>
              <w:rPr>
                <w:snapToGrid/>
                <w:szCs w:val="24"/>
              </w:rPr>
            </w:pPr>
            <w:r w:rsidRPr="00364604">
              <w:rPr>
                <w:snapToGrid/>
                <w:szCs w:val="24"/>
              </w:rPr>
              <w:t>UST systems containing petroleum products not meeting the definition of motor fuels</w:t>
            </w:r>
          </w:p>
        </w:tc>
        <w:tc>
          <w:tcPr>
            <w:tcW w:w="1260" w:type="dxa"/>
            <w:tcBorders>
              <w:top w:val="single" w:sz="6" w:space="0" w:color="000000"/>
              <w:left w:val="single" w:sz="6" w:space="0" w:color="000000"/>
              <w:bottom w:val="single" w:sz="6" w:space="0" w:color="000000"/>
              <w:right w:val="double" w:sz="4" w:space="0" w:color="auto"/>
            </w:tcBorders>
            <w:vAlign w:val="center"/>
            <w:hideMark/>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$174</w:t>
            </w:r>
          </w:p>
        </w:tc>
      </w:tr>
      <w:tr w:rsidR="00364604" w:rsidRPr="00364604" w:rsidTr="00CE2A43">
        <w:trPr>
          <w:cantSplit/>
          <w:jc w:val="center"/>
        </w:trPr>
        <w:tc>
          <w:tcPr>
            <w:tcW w:w="1065" w:type="dxa"/>
            <w:tcBorders>
              <w:top w:val="single" w:sz="6" w:space="0" w:color="000000"/>
              <w:left w:val="double" w:sz="4" w:space="0" w:color="auto"/>
              <w:bottom w:val="single" w:sz="6" w:space="0" w:color="000000"/>
              <w:right w:val="single" w:sz="6" w:space="0" w:color="000000"/>
            </w:tcBorders>
            <w:shd w:val="clear" w:color="auto" w:fill="D9D9D9" w:themeFill="background1" w:themeFillShade="D9"/>
            <w:vAlign w:val="center"/>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r w:rsidRPr="00364604">
              <w:rPr>
                <w:snapToGrid/>
                <w:szCs w:val="24"/>
              </w:rPr>
              <w:t>3</w:t>
            </w:r>
          </w:p>
        </w:tc>
        <w:tc>
          <w:tcPr>
            <w:tcW w:w="72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604" w:rsidRPr="00364604" w:rsidRDefault="00364604" w:rsidP="00364604">
            <w:pPr>
              <w:widowControl/>
              <w:tabs>
                <w:tab w:val="left" w:pos="720"/>
                <w:tab w:val="left" w:pos="1080"/>
                <w:tab w:val="left" w:pos="1440"/>
                <w:tab w:val="left" w:pos="1800"/>
                <w:tab w:val="left" w:pos="2160"/>
                <w:tab w:val="left" w:pos="2520"/>
              </w:tabs>
              <w:spacing w:line="276" w:lineRule="auto"/>
              <w:ind w:left="720" w:hanging="720"/>
              <w:rPr>
                <w:snapToGrid/>
                <w:szCs w:val="24"/>
              </w:rPr>
            </w:pPr>
            <w:r w:rsidRPr="00364604">
              <w:rPr>
                <w:snapToGrid/>
                <w:szCs w:val="24"/>
              </w:rPr>
              <w:t>Motor Fuels Underground Storage Tank Trust Fund Fee</w:t>
            </w:r>
          </w:p>
        </w:tc>
        <w:tc>
          <w:tcPr>
            <w:tcW w:w="1260" w:type="dxa"/>
            <w:tcBorders>
              <w:top w:val="single" w:sz="6" w:space="0" w:color="000000"/>
              <w:left w:val="single" w:sz="6" w:space="0" w:color="000000"/>
              <w:bottom w:val="single" w:sz="6" w:space="0" w:color="000000"/>
              <w:right w:val="double" w:sz="4" w:space="0" w:color="auto"/>
            </w:tcBorders>
            <w:shd w:val="clear" w:color="auto" w:fill="D9D9D9" w:themeFill="background1" w:themeFillShade="D9"/>
            <w:vAlign w:val="center"/>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p>
        </w:tc>
      </w:tr>
      <w:tr w:rsidR="00364604" w:rsidRPr="00364604" w:rsidTr="00CE2A43">
        <w:trPr>
          <w:cantSplit/>
          <w:jc w:val="center"/>
        </w:trPr>
        <w:tc>
          <w:tcPr>
            <w:tcW w:w="1065" w:type="dxa"/>
            <w:tcBorders>
              <w:top w:val="single" w:sz="6" w:space="0" w:color="000000"/>
              <w:left w:val="double" w:sz="4" w:space="0" w:color="auto"/>
              <w:bottom w:val="double" w:sz="4" w:space="0" w:color="auto"/>
              <w:right w:val="single" w:sz="6" w:space="0" w:color="000000"/>
            </w:tcBorders>
            <w:vAlign w:val="center"/>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p>
        </w:tc>
        <w:tc>
          <w:tcPr>
            <w:tcW w:w="7290" w:type="dxa"/>
            <w:tcBorders>
              <w:top w:val="single" w:sz="6" w:space="0" w:color="000000"/>
              <w:left w:val="single" w:sz="6" w:space="0" w:color="000000"/>
              <w:bottom w:val="double" w:sz="4" w:space="0" w:color="auto"/>
              <w:right w:val="single" w:sz="6" w:space="0" w:color="000000"/>
            </w:tcBorders>
          </w:tcPr>
          <w:p w:rsidR="00364604" w:rsidRPr="00364604" w:rsidRDefault="00364604" w:rsidP="00364604">
            <w:pPr>
              <w:widowControl/>
              <w:tabs>
                <w:tab w:val="left" w:pos="720"/>
                <w:tab w:val="left" w:pos="1080"/>
                <w:tab w:val="left" w:pos="1440"/>
                <w:tab w:val="left" w:pos="1800"/>
                <w:tab w:val="left" w:pos="2160"/>
                <w:tab w:val="left" w:pos="2520"/>
              </w:tabs>
              <w:spacing w:line="276" w:lineRule="auto"/>
              <w:ind w:left="720" w:hanging="720"/>
              <w:rPr>
                <w:snapToGrid/>
                <w:szCs w:val="24"/>
              </w:rPr>
            </w:pPr>
            <w:r w:rsidRPr="00364604">
              <w:rPr>
                <w:snapToGrid/>
                <w:szCs w:val="24"/>
              </w:rPr>
              <w:t>UST systems containing new or used motor oil (except USTs identified in LAC 33:XI.1101.C and D)</w:t>
            </w:r>
          </w:p>
        </w:tc>
        <w:tc>
          <w:tcPr>
            <w:tcW w:w="1260" w:type="dxa"/>
            <w:tcBorders>
              <w:top w:val="single" w:sz="6" w:space="0" w:color="000000"/>
              <w:left w:val="single" w:sz="6" w:space="0" w:color="000000"/>
              <w:bottom w:val="double" w:sz="4" w:space="0" w:color="auto"/>
              <w:right w:val="double" w:sz="4" w:space="0" w:color="auto"/>
            </w:tcBorders>
            <w:vAlign w:val="center"/>
          </w:tcPr>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highlight w:val="yellow"/>
              </w:rPr>
            </w:pPr>
            <w:r w:rsidRPr="00364604">
              <w:rPr>
                <w:snapToGrid/>
                <w:szCs w:val="24"/>
              </w:rPr>
              <w:t>$</w:t>
            </w:r>
            <w:r w:rsidRPr="00364604">
              <w:rPr>
                <w:strike/>
                <w:snapToGrid/>
                <w:szCs w:val="24"/>
              </w:rPr>
              <w:t>303</w:t>
            </w:r>
            <w:r w:rsidRPr="00364604">
              <w:rPr>
                <w:snapToGrid/>
                <w:szCs w:val="24"/>
                <w:u w:val="single"/>
              </w:rPr>
              <w:t>275</w:t>
            </w:r>
          </w:p>
        </w:tc>
      </w:tr>
    </w:tbl>
    <w:p w:rsidR="00364604" w:rsidRPr="00364604" w:rsidRDefault="00364604" w:rsidP="00364604">
      <w:pPr>
        <w:widowControl/>
        <w:tabs>
          <w:tab w:val="left" w:pos="720"/>
          <w:tab w:val="left" w:pos="1080"/>
          <w:tab w:val="left" w:pos="1440"/>
          <w:tab w:val="left" w:pos="1800"/>
          <w:tab w:val="left" w:pos="2160"/>
          <w:tab w:val="left" w:pos="2520"/>
        </w:tabs>
        <w:spacing w:line="480" w:lineRule="auto"/>
        <w:ind w:left="720" w:hanging="720"/>
        <w:rPr>
          <w:snapToGrid/>
          <w:szCs w:val="24"/>
        </w:rPr>
      </w:pPr>
    </w:p>
    <w:p w:rsidR="00364604" w:rsidRPr="00364604" w:rsidRDefault="00364604" w:rsidP="00364604">
      <w:pPr>
        <w:widowControl/>
        <w:tabs>
          <w:tab w:val="left" w:pos="720"/>
          <w:tab w:val="left" w:pos="1800"/>
        </w:tabs>
        <w:spacing w:line="480" w:lineRule="auto"/>
        <w:ind w:left="720" w:hanging="720"/>
        <w:rPr>
          <w:snapToGrid/>
          <w:szCs w:val="24"/>
        </w:rPr>
      </w:pPr>
      <w:r w:rsidRPr="00364604">
        <w:rPr>
          <w:snapToGrid/>
          <w:szCs w:val="24"/>
        </w:rPr>
        <w:lastRenderedPageBreak/>
        <w:tab/>
        <w:t>C. — F.</w:t>
      </w:r>
      <w:r w:rsidRPr="00364604">
        <w:rPr>
          <w:snapToGrid/>
          <w:szCs w:val="24"/>
        </w:rPr>
        <w:tab/>
        <w:t>…</w:t>
      </w:r>
    </w:p>
    <w:p w:rsidR="00364604" w:rsidRPr="00364604" w:rsidRDefault="00364604" w:rsidP="00364604">
      <w:pPr>
        <w:widowControl/>
        <w:tabs>
          <w:tab w:val="left" w:pos="288"/>
        </w:tabs>
        <w:rPr>
          <w:snapToGrid/>
          <w:szCs w:val="24"/>
        </w:rPr>
      </w:pPr>
      <w:r w:rsidRPr="00364604">
        <w:rPr>
          <w:snapToGrid/>
          <w:szCs w:val="24"/>
        </w:rPr>
        <w:tab/>
        <w:t>AUTHORITY NOTE:</w:t>
      </w:r>
      <w:r w:rsidRPr="00364604">
        <w:rPr>
          <w:snapToGrid/>
          <w:szCs w:val="24"/>
        </w:rPr>
        <w:tab/>
        <w:t>Promulgated in accordance with R.S. 30:2001, 2014, 2195, and 2195.3 et seq., and R.S. 49:316.1(A)(2)(a) and (c).</w:t>
      </w:r>
    </w:p>
    <w:p w:rsidR="00364604" w:rsidRPr="00364604" w:rsidRDefault="00364604" w:rsidP="00364604">
      <w:pPr>
        <w:widowControl/>
        <w:tabs>
          <w:tab w:val="left" w:pos="288"/>
        </w:tabs>
        <w:rPr>
          <w:snapToGrid/>
          <w:szCs w:val="24"/>
        </w:rPr>
      </w:pPr>
      <w:r w:rsidRPr="00364604">
        <w:rPr>
          <w:snapToGrid/>
          <w:szCs w:val="24"/>
        </w:rPr>
        <w:tab/>
        <w:t>HISTORICAL NOTE:</w:t>
      </w:r>
      <w:r w:rsidRPr="00364604">
        <w:rPr>
          <w:snapToGrid/>
          <w:szCs w:val="24"/>
        </w:rPr>
        <w:tab/>
        <w:t>Promulgated by the Department of Environmental Quality, Office of Solid and Hazardous Waste, Underground Storage Tank Division, LR 11:1139 (December 1985), amended LR 16:614 (July 1990), LR 17:658 (July 1991), LR 18:727 (July 1992), amended by the Office of Management and Finance, Fiscal Services Division, LR 22:19 (January 1996), LR 25:427 (March 1999), amended by the Office of Environmental Assessment, Environmental Planning Division, LR 25:2400 (December 1999), LR 29:690 (May 2003), LR 29:2052 (October 2003), amended by the Office of the Secretary, Legal Affairs Division, LR 35:2181 (October 2009), amended by the Office of the Secretary, Legal Division, LR 43:950 (May 2017), amended by the Office of the Secretary, Legal Affairs and Criminal Investigations Division, LR 44:1597 (September 2018), amended by LR:45</w:t>
      </w:r>
    </w:p>
    <w:p w:rsidR="00364604" w:rsidRDefault="00364604">
      <w:pPr>
        <w:widowControl/>
        <w:rPr>
          <w:rFonts w:ascii="Arial" w:hAnsi="Arial"/>
          <w:sz w:val="20"/>
        </w:rPr>
      </w:pPr>
    </w:p>
    <w:p w:rsidR="00364604" w:rsidRDefault="00364604" w:rsidP="003C71D2">
      <w:pPr>
        <w:jc w:val="center"/>
        <w:rPr>
          <w:rFonts w:ascii="Arial" w:hAnsi="Arial"/>
          <w:sz w:val="20"/>
        </w:rPr>
      </w:pPr>
    </w:p>
    <w:p w:rsidR="00B55C96" w:rsidRPr="004753D8" w:rsidRDefault="00B55C96" w:rsidP="003C71D2">
      <w:pPr>
        <w:jc w:val="center"/>
        <w:rPr>
          <w:rFonts w:ascii="Arial" w:hAnsi="Arial"/>
          <w:sz w:val="20"/>
        </w:rPr>
      </w:pPr>
      <w:r w:rsidRPr="004753D8">
        <w:rPr>
          <w:rFonts w:ascii="Arial" w:hAnsi="Arial"/>
          <w:sz w:val="20"/>
        </w:rPr>
        <w:t>FISCAL AND ECONOMIC IMPACT STATEMENT</w:t>
      </w:r>
    </w:p>
    <w:p w:rsidR="00B55C96" w:rsidRPr="004753D8" w:rsidRDefault="00B55C96" w:rsidP="003C71D2">
      <w:pPr>
        <w:ind w:left="2160" w:firstLine="720"/>
        <w:rPr>
          <w:rFonts w:ascii="Arial" w:hAnsi="Arial"/>
          <w:sz w:val="20"/>
        </w:rPr>
      </w:pPr>
      <w:r w:rsidRPr="004753D8">
        <w:rPr>
          <w:rFonts w:ascii="Arial" w:hAnsi="Arial"/>
          <w:sz w:val="20"/>
        </w:rPr>
        <w:t>FOR ADMINISTRATIVE RULES</w:t>
      </w:r>
      <w:r w:rsidRPr="004753D8">
        <w:rPr>
          <w:rFonts w:ascii="Arial" w:hAnsi="Arial"/>
          <w:sz w:val="20"/>
        </w:rPr>
        <w:tab/>
      </w:r>
      <w:r w:rsidRPr="004753D8">
        <w:rPr>
          <w:rFonts w:ascii="Arial" w:hAnsi="Arial"/>
          <w:sz w:val="20"/>
        </w:rPr>
        <w:tab/>
      </w:r>
      <w:r w:rsidR="00D9650C">
        <w:rPr>
          <w:rFonts w:ascii="Arial" w:hAnsi="Arial"/>
          <w:sz w:val="20"/>
        </w:rPr>
        <w:tab/>
      </w:r>
      <w:r w:rsidR="003C71D2">
        <w:rPr>
          <w:rFonts w:ascii="Arial" w:hAnsi="Arial"/>
          <w:sz w:val="20"/>
        </w:rPr>
        <w:tab/>
      </w:r>
      <w:r w:rsidRPr="004753D8">
        <w:rPr>
          <w:rFonts w:ascii="Arial" w:hAnsi="Arial"/>
          <w:sz w:val="20"/>
        </w:rPr>
        <w:t>LOG #:</w:t>
      </w:r>
      <w:r w:rsidR="003C71D2">
        <w:rPr>
          <w:rFonts w:ascii="Arial" w:hAnsi="Arial"/>
          <w:sz w:val="20"/>
        </w:rPr>
        <w:t xml:space="preserve">  _</w:t>
      </w:r>
      <w:r w:rsidR="00606948">
        <w:rPr>
          <w:rFonts w:ascii="Arial" w:hAnsi="Arial"/>
          <w:sz w:val="20"/>
          <w:u w:val="single"/>
        </w:rPr>
        <w:t>UT019</w:t>
      </w:r>
      <w:r w:rsidR="003C71D2">
        <w:rPr>
          <w:rFonts w:ascii="Arial" w:hAnsi="Arial"/>
          <w:sz w:val="20"/>
        </w:rPr>
        <w:t>_______</w:t>
      </w:r>
    </w:p>
    <w:p w:rsidR="003C71D2" w:rsidRDefault="003C71D2" w:rsidP="004753D8">
      <w:pPr>
        <w:pStyle w:val="WPNormal"/>
        <w:tabs>
          <w:tab w:val="left" w:pos="1480"/>
          <w:tab w:val="left" w:pos="4780"/>
          <w:tab w:val="left" w:pos="5820"/>
        </w:tabs>
        <w:rPr>
          <w:rFonts w:ascii="Geneva" w:hAnsi="Geneva"/>
          <w:sz w:val="20"/>
        </w:rPr>
      </w:pPr>
    </w:p>
    <w:p w:rsidR="004753D8" w:rsidRDefault="004753D8" w:rsidP="004F5294">
      <w:pPr>
        <w:pStyle w:val="WPNormal"/>
        <w:rPr>
          <w:rFonts w:ascii="Geneva" w:hAnsi="Geneva"/>
          <w:sz w:val="20"/>
        </w:rPr>
      </w:pPr>
      <w:r>
        <w:rPr>
          <w:rFonts w:ascii="Geneva" w:hAnsi="Geneva"/>
          <w:sz w:val="20"/>
        </w:rPr>
        <w:t>Person</w:t>
      </w:r>
    </w:p>
    <w:p w:rsidR="004753D8" w:rsidRDefault="004753D8" w:rsidP="004F5294">
      <w:pPr>
        <w:pStyle w:val="WPNormal"/>
        <w:rPr>
          <w:rFonts w:ascii="Geneva" w:hAnsi="Geneva"/>
          <w:sz w:val="20"/>
        </w:rPr>
      </w:pPr>
      <w:r>
        <w:rPr>
          <w:rFonts w:ascii="Geneva" w:hAnsi="Geneva"/>
          <w:sz w:val="20"/>
        </w:rPr>
        <w:t>Preparing</w:t>
      </w:r>
      <w:r w:rsidR="00BB3E27">
        <w:rPr>
          <w:rFonts w:ascii="Geneva" w:hAnsi="Geneva"/>
          <w:sz w:val="20"/>
        </w:rPr>
        <w:tab/>
      </w:r>
      <w:r w:rsidR="006B4426">
        <w:rPr>
          <w:rFonts w:ascii="Geneva" w:hAnsi="Geneva"/>
          <w:sz w:val="20"/>
          <w:u w:val="single"/>
        </w:rPr>
        <w:t>Elizabeth Dequeant</w:t>
      </w:r>
      <w:r w:rsidR="001A3F01">
        <w:rPr>
          <w:rFonts w:ascii="Geneva" w:hAnsi="Geneva"/>
          <w:sz w:val="20"/>
          <w:u w:val="single"/>
        </w:rPr>
        <w:tab/>
      </w:r>
      <w:r w:rsidR="001A3F01">
        <w:rPr>
          <w:rFonts w:ascii="Geneva" w:hAnsi="Geneva"/>
          <w:sz w:val="20"/>
          <w:u w:val="single"/>
        </w:rPr>
        <w:tab/>
      </w:r>
      <w:r w:rsidR="001A3F01">
        <w:rPr>
          <w:rFonts w:ascii="Geneva" w:hAnsi="Geneva"/>
          <w:sz w:val="20"/>
          <w:u w:val="single"/>
        </w:rPr>
        <w:tab/>
      </w:r>
      <w:r w:rsidR="001A3F01">
        <w:rPr>
          <w:rFonts w:ascii="Geneva" w:hAnsi="Geneva"/>
          <w:sz w:val="20"/>
          <w:u w:val="single"/>
        </w:rPr>
        <w:tab/>
      </w:r>
      <w:r w:rsidR="001A3F01">
        <w:rPr>
          <w:rFonts w:ascii="Geneva" w:hAnsi="Geneva"/>
          <w:sz w:val="20"/>
          <w:u w:val="single"/>
        </w:rPr>
        <w:tab/>
      </w:r>
    </w:p>
    <w:p w:rsidR="004753D8" w:rsidRDefault="004753D8" w:rsidP="00DE6675">
      <w:pPr>
        <w:pStyle w:val="WPNormal"/>
        <w:jc w:val="left"/>
        <w:rPr>
          <w:rFonts w:ascii="Geneva" w:hAnsi="Geneva"/>
          <w:sz w:val="20"/>
        </w:rPr>
      </w:pPr>
      <w:r>
        <w:rPr>
          <w:rFonts w:ascii="Geneva" w:hAnsi="Geneva"/>
          <w:sz w:val="20"/>
        </w:rPr>
        <w:t>Statement:</w:t>
      </w:r>
      <w:r>
        <w:rPr>
          <w:rFonts w:ascii="Geneva" w:hAnsi="Geneva"/>
          <w:sz w:val="20"/>
        </w:rPr>
        <w:tab/>
      </w:r>
      <w:r w:rsidR="006B4426">
        <w:rPr>
          <w:rFonts w:ascii="Geneva" w:hAnsi="Geneva"/>
          <w:sz w:val="20"/>
          <w:u w:val="single"/>
        </w:rPr>
        <w:t>Elizabeth.dequeant</w:t>
      </w:r>
      <w:r w:rsidR="001A3F01" w:rsidRPr="00DE6675">
        <w:rPr>
          <w:rFonts w:ascii="Geneva" w:hAnsi="Geneva"/>
          <w:sz w:val="20"/>
          <w:u w:val="single"/>
        </w:rPr>
        <w:t>@la.gov</w:t>
      </w:r>
      <w:r>
        <w:rPr>
          <w:rFonts w:ascii="Geneva" w:hAnsi="Geneva"/>
          <w:sz w:val="20"/>
          <w:u w:val="single"/>
        </w:rPr>
        <w:t xml:space="preserve">                 </w:t>
      </w:r>
      <w:r>
        <w:rPr>
          <w:rFonts w:ascii="Geneva" w:hAnsi="Geneva"/>
          <w:sz w:val="20"/>
        </w:rPr>
        <w:tab/>
      </w:r>
      <w:r w:rsidR="00D9650C">
        <w:rPr>
          <w:rFonts w:ascii="Geneva" w:hAnsi="Geneva"/>
          <w:sz w:val="20"/>
        </w:rPr>
        <w:tab/>
      </w:r>
      <w:r>
        <w:rPr>
          <w:rFonts w:ascii="Geneva" w:hAnsi="Geneva"/>
          <w:sz w:val="20"/>
        </w:rPr>
        <w:t>Dept.:</w:t>
      </w:r>
      <w:r>
        <w:rPr>
          <w:rFonts w:ascii="Geneva" w:hAnsi="Geneva"/>
          <w:sz w:val="20"/>
        </w:rPr>
        <w:tab/>
      </w:r>
      <w:r w:rsidR="00DE6675" w:rsidRPr="00DE6675">
        <w:rPr>
          <w:rFonts w:ascii="Geneva" w:hAnsi="Geneva"/>
          <w:sz w:val="20"/>
          <w:u w:val="single"/>
        </w:rPr>
        <w:t>Department of Environmental Quality</w:t>
      </w:r>
      <w:r w:rsidR="00BB3E27" w:rsidRPr="00DE6675">
        <w:rPr>
          <w:rFonts w:ascii="Geneva" w:hAnsi="Geneva"/>
          <w:sz w:val="20"/>
          <w:u w:val="single"/>
        </w:rPr>
        <w:tab/>
      </w:r>
      <w:r w:rsidR="00BB3E27">
        <w:rPr>
          <w:rFonts w:ascii="Geneva" w:hAnsi="Geneva"/>
          <w:sz w:val="20"/>
        </w:rPr>
        <w:tab/>
      </w:r>
      <w:r w:rsidR="00BB3E27">
        <w:rPr>
          <w:rFonts w:ascii="Geneva" w:hAnsi="Geneva"/>
          <w:sz w:val="20"/>
        </w:rPr>
        <w:tab/>
      </w:r>
      <w:r w:rsidR="00BB3E27">
        <w:rPr>
          <w:rFonts w:ascii="Geneva" w:hAnsi="Geneva"/>
          <w:sz w:val="20"/>
        </w:rPr>
        <w:tab/>
        <w:t>(email address)</w:t>
      </w:r>
    </w:p>
    <w:p w:rsidR="004753D8" w:rsidRPr="001A3F01" w:rsidRDefault="004753D8" w:rsidP="00DE6675">
      <w:pPr>
        <w:pStyle w:val="WPNormal"/>
        <w:jc w:val="left"/>
        <w:rPr>
          <w:rFonts w:ascii="Geneva" w:hAnsi="Geneva"/>
          <w:sz w:val="20"/>
        </w:rPr>
      </w:pPr>
      <w:r>
        <w:rPr>
          <w:rFonts w:ascii="Geneva" w:hAnsi="Geneva"/>
          <w:sz w:val="20"/>
        </w:rPr>
        <w:t>Phone:</w:t>
      </w:r>
      <w:r>
        <w:rPr>
          <w:rFonts w:ascii="Geneva" w:hAnsi="Geneva"/>
          <w:sz w:val="20"/>
        </w:rPr>
        <w:tab/>
      </w:r>
      <w:r w:rsidR="004F5294">
        <w:rPr>
          <w:rFonts w:ascii="Geneva" w:hAnsi="Geneva"/>
          <w:sz w:val="20"/>
        </w:rPr>
        <w:tab/>
      </w:r>
      <w:r w:rsidR="00E47244">
        <w:rPr>
          <w:rFonts w:ascii="Geneva" w:hAnsi="Geneva"/>
          <w:sz w:val="20"/>
          <w:u w:val="single"/>
        </w:rPr>
        <w:t>(225) 219-3863</w:t>
      </w:r>
      <w:r w:rsidR="00DE6675">
        <w:rPr>
          <w:rFonts w:ascii="Geneva" w:hAnsi="Geneva"/>
          <w:sz w:val="20"/>
          <w:u w:val="single"/>
        </w:rPr>
        <w:tab/>
      </w:r>
      <w:r w:rsidR="00DE6675">
        <w:rPr>
          <w:rFonts w:ascii="Geneva" w:hAnsi="Geneva"/>
          <w:sz w:val="20"/>
          <w:u w:val="single"/>
        </w:rPr>
        <w:tab/>
      </w:r>
      <w:r w:rsidR="00DE6675">
        <w:rPr>
          <w:rFonts w:ascii="Geneva" w:hAnsi="Geneva"/>
          <w:sz w:val="20"/>
          <w:u w:val="single"/>
        </w:rPr>
        <w:tab/>
      </w:r>
      <w:r w:rsidR="00DE6675">
        <w:rPr>
          <w:rFonts w:ascii="Geneva" w:hAnsi="Geneva"/>
          <w:sz w:val="20"/>
          <w:u w:val="single"/>
        </w:rPr>
        <w:tab/>
      </w:r>
      <w:r w:rsidR="00DE6675">
        <w:rPr>
          <w:rFonts w:ascii="Geneva" w:hAnsi="Geneva"/>
          <w:sz w:val="20"/>
          <w:u w:val="single"/>
        </w:rPr>
        <w:tab/>
      </w:r>
      <w:r w:rsidR="00DE6675">
        <w:rPr>
          <w:rFonts w:ascii="Geneva" w:hAnsi="Geneva"/>
          <w:sz w:val="20"/>
          <w:u w:val="single"/>
        </w:rPr>
        <w:tab/>
      </w:r>
      <w:r w:rsidRPr="001A3F01">
        <w:rPr>
          <w:rFonts w:ascii="Geneva" w:hAnsi="Geneva"/>
          <w:sz w:val="20"/>
        </w:rPr>
        <w:tab/>
      </w:r>
      <w:r w:rsidR="00D9650C" w:rsidRPr="001A3F01">
        <w:rPr>
          <w:rFonts w:ascii="Geneva" w:hAnsi="Geneva"/>
          <w:sz w:val="20"/>
        </w:rPr>
        <w:tab/>
      </w:r>
      <w:r w:rsidRPr="001A3F01">
        <w:rPr>
          <w:rFonts w:ascii="Geneva" w:hAnsi="Geneva"/>
          <w:sz w:val="20"/>
        </w:rPr>
        <w:t>Office:</w:t>
      </w:r>
      <w:r w:rsidRPr="001A3F01">
        <w:rPr>
          <w:rFonts w:ascii="Geneva" w:hAnsi="Geneva"/>
          <w:sz w:val="20"/>
        </w:rPr>
        <w:tab/>
      </w:r>
      <w:r w:rsidR="00DE6675">
        <w:rPr>
          <w:rFonts w:ascii="Geneva" w:hAnsi="Geneva"/>
          <w:sz w:val="20"/>
          <w:u w:val="single"/>
        </w:rPr>
        <w:t>Office of Management and Finance</w:t>
      </w:r>
      <w:r w:rsidRPr="001A3F01">
        <w:rPr>
          <w:rFonts w:ascii="Geneva" w:hAnsi="Geneva"/>
          <w:sz w:val="20"/>
          <w:u w:val="single"/>
        </w:rPr>
        <w:t xml:space="preserve">       </w:t>
      </w:r>
    </w:p>
    <w:p w:rsidR="004753D8" w:rsidRPr="001A3F01" w:rsidRDefault="004753D8" w:rsidP="004F5294">
      <w:pPr>
        <w:pStyle w:val="WPNormal"/>
        <w:rPr>
          <w:rFonts w:ascii="Geneva" w:hAnsi="Geneva"/>
          <w:sz w:val="20"/>
        </w:rPr>
      </w:pPr>
    </w:p>
    <w:p w:rsidR="004753D8" w:rsidRPr="001A3F01" w:rsidRDefault="004753D8" w:rsidP="00C80E8E">
      <w:pPr>
        <w:pStyle w:val="WPNormal"/>
        <w:rPr>
          <w:rFonts w:ascii="Geneva" w:hAnsi="Geneva"/>
          <w:sz w:val="20"/>
        </w:rPr>
      </w:pPr>
      <w:r w:rsidRPr="001A3F01">
        <w:rPr>
          <w:rFonts w:ascii="Geneva" w:hAnsi="Geneva"/>
          <w:sz w:val="20"/>
        </w:rPr>
        <w:t>Return</w:t>
      </w:r>
      <w:r w:rsidRPr="001A3F01">
        <w:rPr>
          <w:rFonts w:ascii="Geneva" w:hAnsi="Geneva"/>
          <w:sz w:val="20"/>
        </w:rPr>
        <w:tab/>
      </w:r>
      <w:r w:rsidRPr="001A3F01">
        <w:rPr>
          <w:rFonts w:ascii="Geneva" w:hAnsi="Geneva"/>
          <w:sz w:val="20"/>
        </w:rPr>
        <w:tab/>
      </w:r>
      <w:r w:rsidR="004F5294" w:rsidRPr="001A3F01">
        <w:rPr>
          <w:rFonts w:ascii="Geneva" w:hAnsi="Geneva"/>
          <w:sz w:val="20"/>
        </w:rPr>
        <w:tab/>
      </w:r>
      <w:r w:rsidR="004F5294" w:rsidRPr="001A3F01">
        <w:rPr>
          <w:rFonts w:ascii="Geneva" w:hAnsi="Geneva"/>
          <w:sz w:val="20"/>
        </w:rPr>
        <w:tab/>
      </w:r>
      <w:r w:rsidR="004F5294" w:rsidRPr="001A3F01">
        <w:rPr>
          <w:rFonts w:ascii="Geneva" w:hAnsi="Geneva"/>
          <w:sz w:val="20"/>
        </w:rPr>
        <w:tab/>
      </w:r>
      <w:r w:rsidR="004F5294" w:rsidRPr="001A3F01">
        <w:rPr>
          <w:rFonts w:ascii="Geneva" w:hAnsi="Geneva"/>
          <w:sz w:val="20"/>
        </w:rPr>
        <w:tab/>
      </w:r>
      <w:r w:rsidR="004F5294"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Pr="001A3F01">
        <w:rPr>
          <w:rFonts w:ascii="Geneva" w:hAnsi="Geneva"/>
          <w:sz w:val="20"/>
        </w:rPr>
        <w:t>Rule</w:t>
      </w:r>
      <w:r w:rsidR="00C80E8E" w:rsidRPr="00C80E8E">
        <w:rPr>
          <w:rFonts w:ascii="Geneva" w:hAnsi="Geneva"/>
          <w:sz w:val="20"/>
        </w:rPr>
        <w:t xml:space="preserve"> </w:t>
      </w:r>
      <w:r w:rsidR="00C80E8E">
        <w:rPr>
          <w:rFonts w:ascii="Geneva" w:hAnsi="Geneva"/>
          <w:sz w:val="20"/>
        </w:rPr>
        <w:tab/>
      </w:r>
      <w:r w:rsidR="00C80E8E" w:rsidRPr="00C80E8E">
        <w:rPr>
          <w:rFonts w:ascii="Geneva" w:hAnsi="Geneva"/>
          <w:sz w:val="20"/>
          <w:u w:val="single"/>
        </w:rPr>
        <w:t>UST New and Used Motor Oil Storage</w:t>
      </w:r>
    </w:p>
    <w:p w:rsidR="004753D8" w:rsidRPr="001A3F01" w:rsidRDefault="004753D8" w:rsidP="00C80E8E">
      <w:pPr>
        <w:pStyle w:val="WPNormal"/>
        <w:rPr>
          <w:rFonts w:ascii="Geneva" w:hAnsi="Geneva"/>
          <w:sz w:val="20"/>
        </w:rPr>
      </w:pPr>
      <w:r w:rsidRPr="001A3F01">
        <w:rPr>
          <w:rFonts w:ascii="Geneva" w:hAnsi="Geneva"/>
          <w:sz w:val="20"/>
        </w:rPr>
        <w:t>Address:</w:t>
      </w:r>
      <w:r w:rsidRPr="001A3F01">
        <w:rPr>
          <w:rFonts w:ascii="Geneva" w:hAnsi="Geneva"/>
          <w:sz w:val="20"/>
        </w:rPr>
        <w:tab/>
      </w:r>
      <w:r w:rsidR="00312CC5">
        <w:rPr>
          <w:rFonts w:ascii="Geneva" w:hAnsi="Geneva"/>
          <w:sz w:val="20"/>
        </w:rPr>
        <w:t>602 North 5</w:t>
      </w:r>
      <w:r w:rsidR="00312CC5" w:rsidRPr="00312CC5">
        <w:rPr>
          <w:rFonts w:ascii="Geneva" w:hAnsi="Geneva"/>
          <w:sz w:val="20"/>
          <w:vertAlign w:val="superscript"/>
        </w:rPr>
        <w:t>th</w:t>
      </w:r>
      <w:r w:rsidR="00312CC5">
        <w:rPr>
          <w:rFonts w:ascii="Geneva" w:hAnsi="Geneva"/>
          <w:sz w:val="20"/>
        </w:rPr>
        <w:t xml:space="preserve"> Street</w:t>
      </w:r>
      <w:r w:rsidR="00955ED0">
        <w:rPr>
          <w:rFonts w:ascii="Geneva" w:hAnsi="Geneva"/>
          <w:sz w:val="20"/>
          <w:u w:val="single"/>
        </w:rPr>
        <w:tab/>
      </w:r>
      <w:r w:rsidR="00955ED0">
        <w:rPr>
          <w:rFonts w:ascii="Geneva" w:hAnsi="Geneva"/>
          <w:sz w:val="20"/>
          <w:u w:val="single"/>
        </w:rPr>
        <w:tab/>
      </w:r>
      <w:r w:rsidR="00955ED0">
        <w:rPr>
          <w:rFonts w:ascii="Geneva" w:hAnsi="Geneva"/>
          <w:sz w:val="20"/>
          <w:u w:val="single"/>
        </w:rPr>
        <w:tab/>
      </w:r>
      <w:r w:rsidRPr="001A3F01">
        <w:rPr>
          <w:rFonts w:ascii="Geneva" w:hAnsi="Geneva"/>
          <w:sz w:val="20"/>
          <w:u w:val="single"/>
        </w:rPr>
        <w:t xml:space="preserve">                 </w:t>
      </w:r>
      <w:r w:rsidRPr="001A3F01">
        <w:rPr>
          <w:rFonts w:ascii="Geneva" w:hAnsi="Geneva"/>
          <w:sz w:val="20"/>
        </w:rPr>
        <w:tab/>
      </w:r>
      <w:r w:rsidR="00955ED0">
        <w:rPr>
          <w:rFonts w:ascii="Geneva" w:hAnsi="Geneva"/>
          <w:sz w:val="20"/>
        </w:rPr>
        <w:tab/>
      </w:r>
      <w:r w:rsidRPr="001A3F01">
        <w:rPr>
          <w:rFonts w:ascii="Geneva" w:hAnsi="Geneva"/>
          <w:sz w:val="20"/>
        </w:rPr>
        <w:t>Title:</w:t>
      </w:r>
      <w:r w:rsidRPr="001A3F01">
        <w:rPr>
          <w:rFonts w:ascii="Geneva" w:hAnsi="Geneva"/>
          <w:sz w:val="20"/>
        </w:rPr>
        <w:tab/>
      </w:r>
      <w:r w:rsidR="00C80E8E" w:rsidRPr="00C80E8E">
        <w:rPr>
          <w:rFonts w:ascii="Geneva" w:hAnsi="Geneva"/>
          <w:sz w:val="20"/>
          <w:u w:val="single"/>
        </w:rPr>
        <w:t>Fee Correction</w:t>
      </w:r>
    </w:p>
    <w:p w:rsidR="004753D8" w:rsidRPr="001A3F01" w:rsidRDefault="004F5294" w:rsidP="004F5294">
      <w:pPr>
        <w:pStyle w:val="WPNormal"/>
        <w:rPr>
          <w:rFonts w:ascii="Geneva" w:hAnsi="Geneva"/>
          <w:sz w:val="20"/>
        </w:rPr>
      </w:pPr>
      <w:r w:rsidRPr="001A3F01">
        <w:rPr>
          <w:rFonts w:ascii="Geneva" w:hAnsi="Geneva"/>
          <w:sz w:val="20"/>
        </w:rPr>
        <w:tab/>
      </w:r>
      <w:r w:rsidR="004753D8"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955ED0">
        <w:rPr>
          <w:rFonts w:ascii="Geneva" w:hAnsi="Geneva"/>
          <w:sz w:val="20"/>
        </w:rPr>
        <w:tab/>
      </w:r>
    </w:p>
    <w:p w:rsidR="004753D8" w:rsidRPr="001A3F01" w:rsidRDefault="004753D8" w:rsidP="004F5294">
      <w:pPr>
        <w:pStyle w:val="WPNormal"/>
        <w:rPr>
          <w:rFonts w:ascii="Geneva" w:hAnsi="Geneva"/>
          <w:sz w:val="20"/>
        </w:rPr>
      </w:pPr>
      <w:r w:rsidRPr="001A3F01">
        <w:rPr>
          <w:rFonts w:ascii="Geneva" w:hAnsi="Geneva"/>
          <w:sz w:val="20"/>
        </w:rPr>
        <w:tab/>
      </w:r>
      <w:r w:rsidRPr="001A3F01">
        <w:rPr>
          <w:rFonts w:ascii="Geneva" w:hAnsi="Geneva"/>
          <w:sz w:val="20"/>
        </w:rPr>
        <w:tab/>
      </w:r>
      <w:r w:rsidR="00D9650C" w:rsidRPr="001A3F01">
        <w:rPr>
          <w:rFonts w:ascii="Geneva" w:hAnsi="Geneva"/>
          <w:sz w:val="20"/>
        </w:rPr>
        <w:tab/>
      </w:r>
      <w:r w:rsidR="004F5294" w:rsidRPr="001A3F01">
        <w:rPr>
          <w:rFonts w:ascii="Geneva" w:hAnsi="Geneva"/>
          <w:sz w:val="20"/>
        </w:rPr>
        <w:tab/>
      </w:r>
      <w:r w:rsidR="004F5294" w:rsidRPr="001A3F01">
        <w:rPr>
          <w:rFonts w:ascii="Geneva" w:hAnsi="Geneva"/>
          <w:sz w:val="20"/>
        </w:rPr>
        <w:tab/>
      </w:r>
      <w:r w:rsidR="004F5294" w:rsidRPr="001A3F01">
        <w:rPr>
          <w:rFonts w:ascii="Geneva" w:hAnsi="Geneva"/>
          <w:sz w:val="20"/>
        </w:rPr>
        <w:tab/>
      </w:r>
      <w:r w:rsidR="004F5294" w:rsidRPr="001A3F01">
        <w:rPr>
          <w:rFonts w:ascii="Geneva" w:hAnsi="Geneva"/>
          <w:sz w:val="20"/>
        </w:rPr>
        <w:tab/>
      </w:r>
      <w:r w:rsidR="004F5294"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00D9650C" w:rsidRPr="001A3F01">
        <w:rPr>
          <w:rFonts w:ascii="Geneva" w:hAnsi="Geneva"/>
          <w:sz w:val="20"/>
        </w:rPr>
        <w:tab/>
      </w:r>
      <w:r w:rsidRPr="001A3F01">
        <w:rPr>
          <w:rFonts w:ascii="Geneva" w:hAnsi="Geneva"/>
          <w:sz w:val="20"/>
        </w:rPr>
        <w:t>Date Rule</w:t>
      </w:r>
    </w:p>
    <w:p w:rsidR="004753D8" w:rsidRDefault="004753D8" w:rsidP="004F5294">
      <w:pPr>
        <w:pStyle w:val="WPNormal"/>
        <w:rPr>
          <w:rFonts w:ascii="Geneva" w:hAnsi="Geneva"/>
          <w:sz w:val="20"/>
        </w:rPr>
      </w:pPr>
      <w:r w:rsidRPr="001A3F01">
        <w:rPr>
          <w:rFonts w:ascii="Geneva" w:hAnsi="Geneva"/>
          <w:sz w:val="20"/>
        </w:rPr>
        <w:tab/>
      </w:r>
      <w:r w:rsidR="004F5294" w:rsidRPr="001A3F01">
        <w:rPr>
          <w:rFonts w:ascii="Geneva" w:hAnsi="Geneva"/>
          <w:sz w:val="20"/>
        </w:rPr>
        <w:tab/>
      </w:r>
      <w:r w:rsidR="00D9650C" w:rsidRPr="001A3F01">
        <w:rPr>
          <w:rFonts w:ascii="Geneva" w:hAnsi="Geneva"/>
          <w:sz w:val="20"/>
        </w:rPr>
        <w:tab/>
      </w:r>
      <w:r w:rsidR="00955ED0">
        <w:rPr>
          <w:rFonts w:ascii="Geneva" w:hAnsi="Geneva"/>
          <w:sz w:val="20"/>
          <w:u w:val="single"/>
        </w:rPr>
        <w:t>Baton Rouge, LA 708</w:t>
      </w:r>
      <w:r w:rsidR="00DC773D">
        <w:rPr>
          <w:rFonts w:ascii="Geneva" w:hAnsi="Geneva"/>
          <w:sz w:val="20"/>
          <w:u w:val="single"/>
        </w:rPr>
        <w:t>02</w:t>
      </w:r>
      <w:r w:rsidRPr="001A3F01">
        <w:rPr>
          <w:rFonts w:ascii="Geneva" w:hAnsi="Geneva"/>
          <w:sz w:val="20"/>
          <w:u w:val="single"/>
        </w:rPr>
        <w:t xml:space="preserve">          </w:t>
      </w:r>
      <w:r w:rsidRPr="001A3F01">
        <w:rPr>
          <w:rFonts w:ascii="Geneva" w:hAnsi="Geneva"/>
          <w:sz w:val="20"/>
        </w:rPr>
        <w:tab/>
      </w:r>
      <w:r w:rsidR="00DC773D">
        <w:rPr>
          <w:rFonts w:ascii="Geneva" w:hAnsi="Geneva"/>
          <w:sz w:val="20"/>
        </w:rPr>
        <w:tab/>
      </w:r>
      <w:r w:rsidR="00D9650C">
        <w:rPr>
          <w:rFonts w:ascii="Geneva" w:hAnsi="Geneva"/>
          <w:sz w:val="20"/>
        </w:rPr>
        <w:tab/>
      </w:r>
      <w:r w:rsidR="00955ED0">
        <w:rPr>
          <w:rFonts w:ascii="Geneva" w:hAnsi="Geneva"/>
          <w:sz w:val="20"/>
        </w:rPr>
        <w:tab/>
      </w:r>
      <w:r>
        <w:rPr>
          <w:rFonts w:ascii="Geneva" w:hAnsi="Geneva"/>
          <w:sz w:val="20"/>
        </w:rPr>
        <w:t xml:space="preserve">Takes Effect:  </w:t>
      </w:r>
      <w:r w:rsidR="00C80E8E" w:rsidRPr="00C80E8E">
        <w:rPr>
          <w:rFonts w:ascii="Geneva" w:hAnsi="Geneva"/>
          <w:sz w:val="20"/>
          <w:u w:val="single"/>
        </w:rPr>
        <w:t>Upon Promulgation</w:t>
      </w:r>
      <w:r w:rsidR="00DE6675">
        <w:rPr>
          <w:rFonts w:ascii="Geneva" w:hAnsi="Geneva"/>
          <w:sz w:val="20"/>
          <w:u w:val="single"/>
        </w:rPr>
        <w:tab/>
      </w:r>
      <w:r w:rsidR="00DE6675">
        <w:rPr>
          <w:rFonts w:ascii="Geneva" w:hAnsi="Geneva"/>
          <w:sz w:val="20"/>
          <w:u w:val="single"/>
        </w:rPr>
        <w:tab/>
      </w:r>
      <w:r w:rsidR="00DE6675">
        <w:rPr>
          <w:rFonts w:ascii="Geneva" w:hAnsi="Geneva"/>
          <w:sz w:val="20"/>
          <w:u w:val="single"/>
        </w:rPr>
        <w:tab/>
      </w:r>
      <w:r w:rsidR="00DE6675">
        <w:rPr>
          <w:rFonts w:ascii="Geneva" w:hAnsi="Geneva"/>
          <w:sz w:val="20"/>
          <w:u w:val="single"/>
        </w:rPr>
        <w:tab/>
      </w:r>
    </w:p>
    <w:p w:rsidR="004753D8" w:rsidRDefault="004753D8" w:rsidP="00DE6675">
      <w:pPr>
        <w:pStyle w:val="WPNormal"/>
        <w:rPr>
          <w:rFonts w:ascii="Geneva" w:hAnsi="Geneva"/>
          <w:sz w:val="20"/>
        </w:rPr>
      </w:pPr>
    </w:p>
    <w:p w:rsidR="00DE6675" w:rsidRDefault="00DE6675" w:rsidP="00DE6675">
      <w:pPr>
        <w:tabs>
          <w:tab w:val="center" w:pos="5276"/>
        </w:tabs>
        <w:jc w:val="both"/>
        <w:rPr>
          <w:rFonts w:ascii="Arial" w:hAnsi="Arial"/>
          <w:sz w:val="20"/>
        </w:rPr>
      </w:pPr>
    </w:p>
    <w:p w:rsidR="00B55C96" w:rsidRPr="004753D8" w:rsidRDefault="00B55C96" w:rsidP="00DE6675">
      <w:pPr>
        <w:tabs>
          <w:tab w:val="center" w:pos="5276"/>
        </w:tabs>
        <w:jc w:val="center"/>
        <w:rPr>
          <w:rFonts w:ascii="Arial" w:hAnsi="Arial"/>
          <w:sz w:val="20"/>
        </w:rPr>
      </w:pPr>
      <w:r w:rsidRPr="004753D8">
        <w:rPr>
          <w:rFonts w:ascii="Arial" w:hAnsi="Arial"/>
          <w:sz w:val="20"/>
        </w:rPr>
        <w:t>SUMMARY</w:t>
      </w:r>
    </w:p>
    <w:p w:rsidR="00B55C96" w:rsidRPr="004753D8" w:rsidRDefault="00B55C96" w:rsidP="00DE6675">
      <w:pPr>
        <w:tabs>
          <w:tab w:val="center" w:pos="5276"/>
        </w:tabs>
        <w:jc w:val="center"/>
        <w:rPr>
          <w:rFonts w:ascii="Arial" w:hAnsi="Arial"/>
          <w:sz w:val="20"/>
        </w:rPr>
      </w:pPr>
      <w:r w:rsidRPr="004753D8">
        <w:rPr>
          <w:rFonts w:ascii="Arial" w:hAnsi="Arial"/>
          <w:sz w:val="20"/>
        </w:rPr>
        <w:t>(Use complete sentences)</w:t>
      </w:r>
    </w:p>
    <w:p w:rsidR="00B55C96" w:rsidRPr="004753D8" w:rsidRDefault="00B55C96">
      <w:pPr>
        <w:rPr>
          <w:rFonts w:ascii="Arial" w:hAnsi="Arial"/>
          <w:sz w:val="20"/>
        </w:rPr>
      </w:pPr>
    </w:p>
    <w:p w:rsidR="00B55C96" w:rsidRPr="004753D8" w:rsidRDefault="00B55C96">
      <w:pPr>
        <w:rPr>
          <w:rFonts w:ascii="Arial" w:hAnsi="Arial"/>
          <w:sz w:val="20"/>
        </w:rPr>
      </w:pPr>
      <w:r w:rsidRPr="004753D8">
        <w:rPr>
          <w:rFonts w:ascii="Arial" w:hAnsi="Arial"/>
          <w:sz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4753D8">
        <w:rPr>
          <w:rFonts w:ascii="Arial" w:hAnsi="Arial"/>
          <w:sz w:val="20"/>
          <w:u w:val="single"/>
        </w:rPr>
        <w:t xml:space="preserve">WILL BE PUBLISHED IN THE </w:t>
      </w:r>
      <w:smartTag w:uri="urn:schemas-microsoft-com:office:smarttags" w:element="State">
        <w:smartTag w:uri="urn:schemas-microsoft-com:office:smarttags" w:element="place">
          <w:r w:rsidRPr="004753D8">
            <w:rPr>
              <w:rFonts w:ascii="Arial" w:hAnsi="Arial"/>
              <w:sz w:val="20"/>
              <w:u w:val="single"/>
            </w:rPr>
            <w:t>LOUISIANA</w:t>
          </w:r>
        </w:smartTag>
      </w:smartTag>
      <w:r w:rsidRPr="004753D8">
        <w:rPr>
          <w:rFonts w:ascii="Arial" w:hAnsi="Arial"/>
          <w:sz w:val="20"/>
          <w:u w:val="single"/>
        </w:rPr>
        <w:t xml:space="preserve"> REGISTER WITH THE PROPOSED AGENCY RULE.</w:t>
      </w:r>
    </w:p>
    <w:p w:rsidR="00B55C96" w:rsidRPr="004753D8" w:rsidRDefault="00B55C96">
      <w:pPr>
        <w:rPr>
          <w:rFonts w:ascii="Arial" w:hAnsi="Arial"/>
          <w:sz w:val="20"/>
        </w:rPr>
      </w:pPr>
    </w:p>
    <w:p w:rsidR="00B55C96" w:rsidRPr="004753D8" w:rsidRDefault="00B55C96" w:rsidP="004F5294">
      <w:pPr>
        <w:tabs>
          <w:tab w:val="left" w:pos="-1440"/>
        </w:tabs>
        <w:rPr>
          <w:rFonts w:ascii="Arial" w:hAnsi="Arial"/>
          <w:sz w:val="20"/>
        </w:rPr>
      </w:pPr>
      <w:r w:rsidRPr="004753D8">
        <w:rPr>
          <w:rFonts w:ascii="Arial" w:hAnsi="Arial"/>
          <w:sz w:val="20"/>
        </w:rPr>
        <w:t>I.</w:t>
      </w:r>
      <w:r w:rsidRPr="004753D8">
        <w:rPr>
          <w:rFonts w:ascii="Arial" w:hAnsi="Arial"/>
          <w:sz w:val="20"/>
        </w:rPr>
        <w:tab/>
        <w:t>ESTIMATED IMPLEMENTATION COSTS (SAVINGS) TO STATE OR LOCAL GOVERNMENTAL UNITS (Summary)</w:t>
      </w:r>
    </w:p>
    <w:p w:rsidR="00B55C96" w:rsidRPr="004753D8" w:rsidRDefault="00B55C96">
      <w:pPr>
        <w:rPr>
          <w:rFonts w:ascii="Arial" w:hAnsi="Arial"/>
          <w:sz w:val="20"/>
        </w:rPr>
      </w:pPr>
    </w:p>
    <w:p w:rsidR="00CA7CB8" w:rsidRPr="004753D8" w:rsidRDefault="00CA7CB8" w:rsidP="00CA7CB8">
      <w:pPr>
        <w:ind w:left="720"/>
        <w:rPr>
          <w:rFonts w:ascii="Arial" w:hAnsi="Arial"/>
          <w:sz w:val="20"/>
        </w:rPr>
      </w:pPr>
      <w:r>
        <w:rPr>
          <w:rFonts w:ascii="Arial" w:hAnsi="Arial"/>
          <w:sz w:val="20"/>
        </w:rPr>
        <w:t>The proposed rule change is not anticipated to have any implementation costs or savings and will be accomplished within Department of Environmental Quality (DEQ) employees’ normal scope of work and during regular working hours. The proposed rule change corrects an erroneous increase for the underground storage tanks containing new or used motor oil fee adopted in 2017. That change increased the fee by $28 (from $275 to $303) beginning in FY 19.</w:t>
      </w:r>
    </w:p>
    <w:p w:rsidR="00CA7CB8" w:rsidRPr="004753D8" w:rsidRDefault="00CA7CB8" w:rsidP="00CA7CB8">
      <w:pPr>
        <w:ind w:left="720"/>
        <w:rPr>
          <w:rFonts w:ascii="Arial" w:hAnsi="Arial"/>
          <w:sz w:val="20"/>
        </w:rPr>
      </w:pPr>
    </w:p>
    <w:p w:rsidR="00CA7CB8" w:rsidRPr="004753D8" w:rsidRDefault="00CA7CB8" w:rsidP="00CA7CB8">
      <w:pPr>
        <w:rPr>
          <w:rFonts w:ascii="Arial" w:hAnsi="Arial"/>
          <w:sz w:val="20"/>
        </w:rPr>
      </w:pPr>
    </w:p>
    <w:p w:rsidR="00CA7CB8" w:rsidRPr="004753D8" w:rsidRDefault="00CA7CB8" w:rsidP="00CA7CB8">
      <w:pPr>
        <w:tabs>
          <w:tab w:val="left" w:pos="-1440"/>
        </w:tabs>
        <w:rPr>
          <w:rFonts w:ascii="Arial" w:hAnsi="Arial"/>
          <w:sz w:val="20"/>
        </w:rPr>
      </w:pPr>
      <w:r w:rsidRPr="004753D8">
        <w:rPr>
          <w:rFonts w:ascii="Arial" w:hAnsi="Arial"/>
          <w:sz w:val="20"/>
        </w:rPr>
        <w:t>II.</w:t>
      </w:r>
      <w:r w:rsidRPr="004753D8">
        <w:rPr>
          <w:rFonts w:ascii="Arial" w:hAnsi="Arial"/>
          <w:sz w:val="20"/>
        </w:rPr>
        <w:tab/>
        <w:t>ESTIMATED EFFECT ON REVENUE COLLECTIONS OF STATE OR LOCAL GOVERNMENTAL UNITS (Summary)</w:t>
      </w:r>
    </w:p>
    <w:p w:rsidR="00CA7CB8" w:rsidRPr="004753D8" w:rsidRDefault="00CA7CB8" w:rsidP="00CA7CB8">
      <w:pPr>
        <w:rPr>
          <w:rFonts w:ascii="Arial" w:hAnsi="Arial"/>
          <w:sz w:val="20"/>
        </w:rPr>
      </w:pPr>
    </w:p>
    <w:p w:rsidR="00CA7CB8" w:rsidRPr="004753D8" w:rsidRDefault="00CA7CB8" w:rsidP="00CA7CB8">
      <w:pPr>
        <w:ind w:left="720"/>
        <w:rPr>
          <w:rFonts w:ascii="Arial" w:hAnsi="Arial"/>
          <w:sz w:val="20"/>
        </w:rPr>
      </w:pPr>
      <w:r>
        <w:rPr>
          <w:rFonts w:ascii="Arial" w:hAnsi="Arial"/>
          <w:sz w:val="20"/>
        </w:rPr>
        <w:lastRenderedPageBreak/>
        <w:t>The proposed rule change will decrease revenue collections to DEQ out of the Motor Fuel Trust Fund by approximately $980. DEQ has begun refunding underground storage tank owners that have paid the additional fee. DEQ anticipated there would be approximately 35 tank owners that would have paid this additional fee in FY 19; therefore, this $28 reduction is anticipated to reduce annual revenue collections out of the Motor Fuel Trust Fund by $980. DEQ anticipates they will be able to absorb these reductions with current resources.</w:t>
      </w:r>
    </w:p>
    <w:p w:rsidR="00CA7CB8" w:rsidRPr="004753D8" w:rsidRDefault="00CA7CB8" w:rsidP="00CA7CB8">
      <w:pPr>
        <w:ind w:left="720"/>
        <w:rPr>
          <w:rFonts w:ascii="Arial" w:hAnsi="Arial"/>
          <w:sz w:val="20"/>
        </w:rPr>
      </w:pPr>
    </w:p>
    <w:p w:rsidR="00CA7CB8" w:rsidRPr="004753D8" w:rsidRDefault="00CA7CB8" w:rsidP="00CA7CB8">
      <w:pPr>
        <w:rPr>
          <w:rFonts w:ascii="Arial" w:hAnsi="Arial"/>
          <w:sz w:val="20"/>
        </w:rPr>
      </w:pPr>
    </w:p>
    <w:p w:rsidR="00CA7CB8" w:rsidRPr="004753D8" w:rsidRDefault="00CA7CB8" w:rsidP="00CA7CB8">
      <w:pPr>
        <w:tabs>
          <w:tab w:val="left" w:pos="-1440"/>
        </w:tabs>
        <w:rPr>
          <w:rFonts w:ascii="Arial" w:hAnsi="Arial"/>
          <w:sz w:val="20"/>
        </w:rPr>
      </w:pPr>
      <w:r w:rsidRPr="004753D8">
        <w:rPr>
          <w:rFonts w:ascii="Arial" w:hAnsi="Arial"/>
          <w:sz w:val="20"/>
        </w:rPr>
        <w:t>III.</w:t>
      </w:r>
      <w:r w:rsidRPr="004753D8">
        <w:rPr>
          <w:rFonts w:ascii="Arial" w:hAnsi="Arial"/>
          <w:sz w:val="20"/>
        </w:rPr>
        <w:tab/>
        <w:t>ESTIMATED COSTS AND/OR ECONOMIC BENEFITS TO DIRECTLY AFFECTED PERSONS OR NON-GOVERNMENTAL GROUPS (Summary)</w:t>
      </w:r>
    </w:p>
    <w:p w:rsidR="00CA7CB8" w:rsidRPr="004753D8" w:rsidRDefault="00CA7CB8" w:rsidP="00CA7CB8">
      <w:pPr>
        <w:rPr>
          <w:rFonts w:ascii="Arial" w:hAnsi="Arial"/>
          <w:sz w:val="20"/>
        </w:rPr>
      </w:pPr>
    </w:p>
    <w:p w:rsidR="00CA7CB8" w:rsidRPr="004753D8" w:rsidRDefault="00CA7CB8" w:rsidP="00CA7CB8">
      <w:pPr>
        <w:ind w:left="720"/>
        <w:rPr>
          <w:rFonts w:ascii="Arial" w:hAnsi="Arial"/>
          <w:sz w:val="20"/>
        </w:rPr>
      </w:pPr>
      <w:r>
        <w:rPr>
          <w:rFonts w:ascii="Arial" w:hAnsi="Arial"/>
          <w:sz w:val="20"/>
        </w:rPr>
        <w:t xml:space="preserve">The proposed rule change will correct an erroneous increase in the underground storage tanks containing new or used motor oil fee that will provide these storage owners with a $28 decrease in annual fees (from $303 to $275). Storage owners that have paid the additional fee amount have either been reimbursed or will be reimbursed for this error. All future payments will be at the $275 amount.  </w:t>
      </w:r>
    </w:p>
    <w:p w:rsidR="00CA7CB8" w:rsidRPr="004753D8" w:rsidRDefault="00CA7CB8" w:rsidP="00CA7CB8">
      <w:pPr>
        <w:ind w:left="720"/>
        <w:rPr>
          <w:rFonts w:ascii="Arial" w:hAnsi="Arial"/>
          <w:sz w:val="20"/>
        </w:rPr>
      </w:pPr>
    </w:p>
    <w:p w:rsidR="00CA7CB8" w:rsidRPr="004753D8" w:rsidRDefault="00CA7CB8" w:rsidP="00CA7CB8">
      <w:pPr>
        <w:rPr>
          <w:rFonts w:ascii="Arial" w:hAnsi="Arial"/>
          <w:sz w:val="20"/>
        </w:rPr>
      </w:pPr>
    </w:p>
    <w:p w:rsidR="00CA7CB8" w:rsidRPr="004753D8" w:rsidRDefault="00CA7CB8" w:rsidP="00CA7CB8">
      <w:pPr>
        <w:tabs>
          <w:tab w:val="left" w:pos="-1440"/>
        </w:tabs>
        <w:rPr>
          <w:rFonts w:ascii="Arial" w:hAnsi="Arial"/>
          <w:sz w:val="20"/>
        </w:rPr>
      </w:pPr>
      <w:r w:rsidRPr="004753D8">
        <w:rPr>
          <w:rFonts w:ascii="Arial" w:hAnsi="Arial"/>
          <w:sz w:val="20"/>
        </w:rPr>
        <w:t>IV.</w:t>
      </w:r>
      <w:r w:rsidRPr="004753D8">
        <w:rPr>
          <w:rFonts w:ascii="Arial" w:hAnsi="Arial"/>
          <w:sz w:val="20"/>
        </w:rPr>
        <w:tab/>
        <w:t>ESTIMATED EFFECT ON COMPETITION AND EMPLOYMENT (Summary)</w:t>
      </w:r>
    </w:p>
    <w:p w:rsidR="00CA7CB8" w:rsidRPr="004753D8" w:rsidRDefault="00CA7CB8" w:rsidP="00CA7CB8">
      <w:pPr>
        <w:rPr>
          <w:rFonts w:ascii="Arial" w:hAnsi="Arial"/>
          <w:sz w:val="20"/>
        </w:rPr>
      </w:pPr>
    </w:p>
    <w:p w:rsidR="00CA7CB8" w:rsidRPr="004753D8" w:rsidRDefault="00CA7CB8" w:rsidP="00CA7CB8">
      <w:pPr>
        <w:ind w:firstLine="720"/>
        <w:rPr>
          <w:rFonts w:ascii="Arial" w:hAnsi="Arial"/>
          <w:sz w:val="20"/>
        </w:rPr>
      </w:pPr>
      <w:r>
        <w:rPr>
          <w:rFonts w:ascii="Arial" w:hAnsi="Arial"/>
          <w:sz w:val="20"/>
        </w:rPr>
        <w:t>The proposed rule changes will not have any effect on competition and employment.</w:t>
      </w:r>
    </w:p>
    <w:p w:rsidR="00CA7CB8" w:rsidRDefault="00CA7CB8" w:rsidP="00CA7CB8">
      <w:pPr>
        <w:ind w:firstLine="720"/>
        <w:rPr>
          <w:rFonts w:ascii="Arial" w:hAnsi="Arial"/>
          <w:sz w:val="20"/>
        </w:rPr>
      </w:pPr>
    </w:p>
    <w:p w:rsidR="00CA7CB8" w:rsidRDefault="00CA7CB8" w:rsidP="00CA7CB8">
      <w:pPr>
        <w:ind w:firstLine="720"/>
        <w:rPr>
          <w:rFonts w:ascii="Arial" w:hAnsi="Arial"/>
          <w:sz w:val="20"/>
        </w:rPr>
      </w:pPr>
    </w:p>
    <w:p w:rsidR="00CA7CB8" w:rsidRPr="004753D8" w:rsidRDefault="00CA7CB8" w:rsidP="00CA7CB8">
      <w:pPr>
        <w:ind w:firstLine="720"/>
        <w:rPr>
          <w:rFonts w:ascii="Arial" w:hAnsi="Arial"/>
          <w:sz w:val="20"/>
        </w:rPr>
      </w:pPr>
    </w:p>
    <w:p w:rsidR="00CA7CB8" w:rsidRPr="004753D8" w:rsidRDefault="00CA7CB8" w:rsidP="00CA7CB8">
      <w:pPr>
        <w:ind w:firstLine="720"/>
        <w:rPr>
          <w:rFonts w:ascii="Arial" w:hAnsi="Arial"/>
          <w:sz w:val="20"/>
        </w:rPr>
      </w:pPr>
    </w:p>
    <w:p w:rsidR="00CA7CB8" w:rsidRPr="004753D8" w:rsidRDefault="00CA7CB8" w:rsidP="00CA7CB8">
      <w:pPr>
        <w:ind w:firstLine="720"/>
        <w:rPr>
          <w:rFonts w:ascii="Arial" w:hAnsi="Arial"/>
          <w:sz w:val="20"/>
        </w:rPr>
      </w:pPr>
    </w:p>
    <w:p w:rsidR="00CA7CB8" w:rsidRPr="004753D8" w:rsidRDefault="00CA7CB8" w:rsidP="00CA7CB8">
      <w:pPr>
        <w:rPr>
          <w:rFonts w:ascii="Arial" w:hAnsi="Arial"/>
          <w:sz w:val="20"/>
        </w:rPr>
      </w:pPr>
    </w:p>
    <w:p w:rsidR="00CA7CB8" w:rsidRPr="004753D8" w:rsidRDefault="00CA7CB8" w:rsidP="00CA7CB8">
      <w:pPr>
        <w:rPr>
          <w:rFonts w:ascii="Arial" w:hAnsi="Arial"/>
          <w:sz w:val="20"/>
        </w:rPr>
      </w:pPr>
      <w:r w:rsidRPr="004753D8">
        <w:rPr>
          <w:rFonts w:ascii="Arial" w:hAnsi="Arial"/>
          <w:sz w:val="20"/>
          <w:u w:val="single"/>
        </w:rPr>
        <w:t xml:space="preserve">                                </w:t>
      </w:r>
      <w:r>
        <w:rPr>
          <w:rFonts w:ascii="Arial" w:hAnsi="Arial"/>
          <w:sz w:val="20"/>
          <w:u w:val="single"/>
        </w:rPr>
        <w:tab/>
      </w:r>
      <w:r>
        <w:rPr>
          <w:rFonts w:ascii="Arial" w:hAnsi="Arial"/>
          <w:sz w:val="20"/>
          <w:u w:val="single"/>
        </w:rPr>
        <w:tab/>
      </w:r>
      <w:r w:rsidRPr="004753D8">
        <w:rPr>
          <w:rFonts w:ascii="Arial" w:hAnsi="Arial"/>
          <w:sz w:val="20"/>
          <w:u w:val="single"/>
        </w:rPr>
        <w:t xml:space="preserve">                                     </w:t>
      </w:r>
      <w:r w:rsidRPr="004753D8">
        <w:rPr>
          <w:rFonts w:ascii="Arial" w:hAnsi="Arial"/>
          <w:sz w:val="20"/>
        </w:rPr>
        <w:tab/>
      </w:r>
      <w:r>
        <w:rPr>
          <w:rFonts w:ascii="Arial" w:hAnsi="Arial"/>
          <w:sz w:val="20"/>
        </w:rPr>
        <w:tab/>
        <w:t xml:space="preserve">     </w:t>
      </w:r>
      <w:r w:rsidRPr="004753D8">
        <w:rPr>
          <w:rFonts w:ascii="Arial" w:hAnsi="Arial"/>
          <w:sz w:val="20"/>
          <w:u w:val="single"/>
        </w:rPr>
        <w:t xml:space="preserve">                                </w:t>
      </w:r>
      <w:r>
        <w:rPr>
          <w:rFonts w:ascii="Arial" w:hAnsi="Arial"/>
          <w:sz w:val="20"/>
          <w:u w:val="single"/>
        </w:rPr>
        <w:tab/>
      </w:r>
      <w:r>
        <w:rPr>
          <w:rFonts w:ascii="Arial" w:hAnsi="Arial"/>
          <w:sz w:val="20"/>
          <w:u w:val="single"/>
        </w:rPr>
        <w:tab/>
      </w:r>
      <w:r w:rsidRPr="004753D8">
        <w:rPr>
          <w:rFonts w:ascii="Arial" w:hAnsi="Arial"/>
          <w:sz w:val="20"/>
          <w:u w:val="single"/>
        </w:rPr>
        <w:t xml:space="preserve">                                     </w:t>
      </w:r>
      <w:r w:rsidRPr="004753D8">
        <w:rPr>
          <w:rFonts w:ascii="Arial" w:hAnsi="Arial"/>
          <w:sz w:val="20"/>
        </w:rPr>
        <w:t>Signature of Agency Head or Designee</w:t>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sidRPr="004753D8">
        <w:rPr>
          <w:rFonts w:ascii="Arial" w:hAnsi="Arial"/>
          <w:sz w:val="20"/>
        </w:rPr>
        <w:t xml:space="preserve">Legislative Fiscal Officer or Designee  </w:t>
      </w:r>
    </w:p>
    <w:p w:rsidR="00CA7CB8" w:rsidRPr="004753D8" w:rsidRDefault="00CA7CB8" w:rsidP="00CA7CB8">
      <w:pPr>
        <w:rPr>
          <w:rFonts w:ascii="Arial" w:hAnsi="Arial"/>
          <w:sz w:val="20"/>
          <w:u w:val="single"/>
        </w:rPr>
      </w:pPr>
    </w:p>
    <w:p w:rsidR="00CA7CB8" w:rsidRPr="004753D8" w:rsidRDefault="00CA7CB8" w:rsidP="00CA7CB8">
      <w:pPr>
        <w:rPr>
          <w:rFonts w:ascii="Arial" w:hAnsi="Arial"/>
          <w:sz w:val="20"/>
          <w:u w:val="single"/>
        </w:rPr>
      </w:pPr>
      <w:r w:rsidRPr="004753D8">
        <w:rPr>
          <w:rFonts w:ascii="Arial" w:hAnsi="Arial"/>
          <w:sz w:val="20"/>
          <w:u w:val="single"/>
        </w:rPr>
        <w:t xml:space="preserve">Herman Robinson, </w:t>
      </w:r>
      <w:r>
        <w:rPr>
          <w:rFonts w:ascii="Arial" w:hAnsi="Arial"/>
          <w:sz w:val="20"/>
          <w:u w:val="single"/>
        </w:rPr>
        <w:t>General</w:t>
      </w:r>
      <w:r w:rsidRPr="004753D8">
        <w:rPr>
          <w:rFonts w:ascii="Arial" w:hAnsi="Arial"/>
          <w:sz w:val="20"/>
          <w:u w:val="single"/>
        </w:rPr>
        <w:t xml:space="preserve"> Counsel</w:t>
      </w:r>
    </w:p>
    <w:p w:rsidR="00CA7CB8" w:rsidRPr="004753D8" w:rsidRDefault="00CA7CB8" w:rsidP="00CA7CB8">
      <w:pPr>
        <w:rPr>
          <w:rFonts w:ascii="Arial" w:hAnsi="Arial"/>
          <w:sz w:val="20"/>
        </w:rPr>
      </w:pPr>
      <w:r w:rsidRPr="004753D8">
        <w:rPr>
          <w:rFonts w:ascii="Arial" w:hAnsi="Arial"/>
          <w:sz w:val="20"/>
        </w:rPr>
        <w:t>Typed Name and Title of Agency Head or Designee</w:t>
      </w:r>
    </w:p>
    <w:p w:rsidR="00CA7CB8" w:rsidRPr="004753D8" w:rsidRDefault="00CA7CB8" w:rsidP="00CA7CB8">
      <w:pPr>
        <w:rPr>
          <w:rFonts w:ascii="Arial" w:hAnsi="Arial"/>
          <w:sz w:val="20"/>
        </w:rPr>
      </w:pPr>
    </w:p>
    <w:p w:rsidR="00CA7CB8" w:rsidRPr="004753D8" w:rsidRDefault="00CA7CB8" w:rsidP="00CA7CB8">
      <w:pPr>
        <w:rPr>
          <w:rFonts w:ascii="Arial" w:hAnsi="Arial"/>
          <w:sz w:val="20"/>
        </w:rPr>
      </w:pPr>
      <w:r>
        <w:rPr>
          <w:rFonts w:ascii="Arial" w:hAnsi="Arial"/>
          <w:sz w:val="20"/>
          <w:u w:val="single"/>
        </w:rPr>
        <w:t xml:space="preserve">                                                        </w:t>
      </w:r>
      <w:r w:rsidRPr="004753D8">
        <w:rPr>
          <w:rFonts w:ascii="Arial" w:hAnsi="Arial"/>
          <w:sz w:val="20"/>
          <w:u w:val="single"/>
        </w:rPr>
        <w:t xml:space="preserve">                    </w:t>
      </w:r>
      <w:r w:rsidRPr="004753D8">
        <w:rPr>
          <w:rFonts w:ascii="Arial" w:hAnsi="Arial"/>
          <w:sz w:val="20"/>
        </w:rPr>
        <w:t xml:space="preserve">  </w:t>
      </w:r>
      <w:r w:rsidRPr="004753D8">
        <w:rPr>
          <w:rFonts w:ascii="Arial" w:hAnsi="Arial"/>
          <w:sz w:val="20"/>
        </w:rPr>
        <w:tab/>
      </w:r>
      <w:r w:rsidRPr="004753D8">
        <w:rPr>
          <w:rFonts w:ascii="Arial" w:hAnsi="Arial"/>
          <w:sz w:val="20"/>
        </w:rPr>
        <w:tab/>
      </w:r>
      <w:r>
        <w:rPr>
          <w:rFonts w:ascii="Arial" w:hAnsi="Arial"/>
          <w:sz w:val="20"/>
        </w:rPr>
        <w:tab/>
      </w:r>
      <w:r w:rsidRPr="004753D8">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 xml:space="preserve">      </w:t>
      </w:r>
    </w:p>
    <w:p w:rsidR="00CA7CB8" w:rsidRPr="004753D8" w:rsidRDefault="00CA7CB8" w:rsidP="00CA7CB8">
      <w:pPr>
        <w:rPr>
          <w:rFonts w:ascii="Arial" w:hAnsi="Arial"/>
          <w:sz w:val="20"/>
        </w:rPr>
      </w:pPr>
      <w:r w:rsidRPr="004753D8">
        <w:rPr>
          <w:rFonts w:ascii="Arial" w:hAnsi="Arial"/>
          <w:sz w:val="20"/>
        </w:rPr>
        <w:t xml:space="preserve">Date of Signature                         </w:t>
      </w:r>
      <w:r w:rsidRPr="004753D8">
        <w:rPr>
          <w:rFonts w:ascii="Arial" w:hAnsi="Arial"/>
          <w:sz w:val="20"/>
        </w:rPr>
        <w:tab/>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sidRPr="004753D8">
        <w:rPr>
          <w:rFonts w:ascii="Arial" w:hAnsi="Arial"/>
          <w:sz w:val="20"/>
        </w:rPr>
        <w:t>Date of Signature</w:t>
      </w:r>
    </w:p>
    <w:p w:rsidR="00CA7CB8" w:rsidRPr="004753D8" w:rsidRDefault="00CA7CB8" w:rsidP="00CA7CB8">
      <w:pPr>
        <w:rPr>
          <w:rFonts w:ascii="Arial" w:hAnsi="Arial"/>
          <w:sz w:val="20"/>
        </w:rPr>
      </w:pPr>
    </w:p>
    <w:p w:rsidR="00CA7CB8" w:rsidRPr="004753D8" w:rsidRDefault="00CA7CB8" w:rsidP="00CA7CB8">
      <w:pPr>
        <w:jc w:val="center"/>
        <w:rPr>
          <w:rFonts w:ascii="Arial" w:hAnsi="Arial"/>
          <w:sz w:val="20"/>
        </w:rPr>
      </w:pPr>
    </w:p>
    <w:p w:rsidR="00CA7CB8" w:rsidRPr="004753D8" w:rsidRDefault="00CA7CB8" w:rsidP="00CA7CB8">
      <w:pPr>
        <w:rPr>
          <w:rFonts w:ascii="Arial" w:hAnsi="Arial"/>
          <w:sz w:val="20"/>
        </w:rPr>
        <w:sectPr w:rsidR="00CA7CB8" w:rsidRPr="004753D8" w:rsidSect="00CA7CB8">
          <w:headerReference w:type="default" r:id="rId7"/>
          <w:endnotePr>
            <w:numFmt w:val="decimal"/>
          </w:endnotePr>
          <w:type w:val="continuous"/>
          <w:pgSz w:w="12240" w:h="15840" w:code="1"/>
          <w:pgMar w:top="1440" w:right="1440" w:bottom="1440" w:left="1440" w:header="360" w:footer="720" w:gutter="0"/>
          <w:paperSrc w:first="4" w:other="4"/>
          <w:cols w:space="720"/>
          <w:noEndnote/>
        </w:sectPr>
      </w:pPr>
    </w:p>
    <w:p w:rsidR="00CA7CB8" w:rsidRPr="004753D8" w:rsidRDefault="00CA7CB8" w:rsidP="00CA7CB8">
      <w:pPr>
        <w:jc w:val="center"/>
        <w:rPr>
          <w:rFonts w:ascii="Arial" w:hAnsi="Arial"/>
          <w:sz w:val="20"/>
        </w:rPr>
      </w:pPr>
      <w:r w:rsidRPr="004753D8">
        <w:rPr>
          <w:rFonts w:ascii="Arial" w:hAnsi="Arial"/>
          <w:sz w:val="20"/>
        </w:rPr>
        <w:lastRenderedPageBreak/>
        <w:t>FISCAL AND ECONOMIC IMPACT STATEMENT</w:t>
      </w:r>
    </w:p>
    <w:p w:rsidR="00CA7CB8" w:rsidRPr="004753D8" w:rsidRDefault="00CA7CB8" w:rsidP="00CA7CB8">
      <w:pPr>
        <w:jc w:val="center"/>
        <w:rPr>
          <w:rFonts w:ascii="Arial" w:hAnsi="Arial"/>
          <w:sz w:val="20"/>
        </w:rPr>
      </w:pPr>
      <w:r w:rsidRPr="004753D8">
        <w:rPr>
          <w:rFonts w:ascii="Arial" w:hAnsi="Arial"/>
          <w:sz w:val="20"/>
        </w:rPr>
        <w:t>FOR ADMINISTRATIVE RULES</w:t>
      </w:r>
    </w:p>
    <w:p w:rsidR="00CA7CB8" w:rsidRPr="004753D8" w:rsidRDefault="00CA7CB8" w:rsidP="00CA7CB8">
      <w:pPr>
        <w:rPr>
          <w:rFonts w:ascii="Arial" w:hAnsi="Arial"/>
          <w:sz w:val="20"/>
        </w:rPr>
      </w:pPr>
    </w:p>
    <w:p w:rsidR="00CA7CB8" w:rsidRPr="004753D8" w:rsidRDefault="00CA7CB8" w:rsidP="00CA7CB8">
      <w:pPr>
        <w:rPr>
          <w:rFonts w:ascii="Arial" w:hAnsi="Arial"/>
          <w:sz w:val="20"/>
        </w:rPr>
      </w:pPr>
      <w:r w:rsidRPr="004753D8">
        <w:rPr>
          <w:rFonts w:ascii="Arial" w:hAnsi="Arial"/>
          <w:sz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CA7CB8" w:rsidRPr="004753D8" w:rsidRDefault="00CA7CB8" w:rsidP="00CA7CB8">
      <w:pPr>
        <w:rPr>
          <w:rFonts w:ascii="Arial" w:hAnsi="Arial"/>
          <w:sz w:val="20"/>
        </w:rPr>
      </w:pPr>
    </w:p>
    <w:p w:rsidR="00CA7CB8" w:rsidRPr="004753D8" w:rsidRDefault="00CA7CB8" w:rsidP="00CA7CB8">
      <w:pPr>
        <w:tabs>
          <w:tab w:val="left" w:pos="-1440"/>
        </w:tabs>
        <w:ind w:left="360" w:hanging="360"/>
        <w:rPr>
          <w:rFonts w:ascii="Arial" w:hAnsi="Arial"/>
          <w:sz w:val="20"/>
        </w:rPr>
      </w:pPr>
      <w:r w:rsidRPr="004753D8">
        <w:rPr>
          <w:rFonts w:ascii="Arial" w:hAnsi="Arial"/>
          <w:sz w:val="20"/>
        </w:rPr>
        <w:t>A.</w:t>
      </w:r>
      <w:r w:rsidRPr="004753D8">
        <w:rPr>
          <w:rFonts w:ascii="Arial" w:hAnsi="Arial"/>
          <w:sz w:val="20"/>
        </w:rPr>
        <w:tab/>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CA7CB8" w:rsidRPr="004753D8" w:rsidRDefault="00CA7CB8" w:rsidP="00CA7CB8">
      <w:pPr>
        <w:rPr>
          <w:rFonts w:ascii="Arial" w:hAnsi="Arial"/>
          <w:sz w:val="20"/>
        </w:rPr>
      </w:pPr>
    </w:p>
    <w:p w:rsidR="00CA7CB8" w:rsidRPr="004753D8" w:rsidRDefault="00CA7CB8" w:rsidP="00CA7CB8">
      <w:pPr>
        <w:ind w:left="360"/>
        <w:rPr>
          <w:rFonts w:ascii="Arial" w:hAnsi="Arial"/>
          <w:sz w:val="20"/>
        </w:rPr>
      </w:pPr>
      <w:r>
        <w:rPr>
          <w:rFonts w:ascii="Arial" w:hAnsi="Arial"/>
          <w:sz w:val="20"/>
        </w:rPr>
        <w:t xml:space="preserve">This proposed rule </w:t>
      </w:r>
      <w:r w:rsidRPr="00606948">
        <w:rPr>
          <w:rFonts w:ascii="Arial" w:hAnsi="Arial"/>
          <w:sz w:val="20"/>
        </w:rPr>
        <w:t>corrects the fee in LAC 33:XI.307 to match the fee in R.S. 30:2195.3</w:t>
      </w:r>
      <w:r>
        <w:rPr>
          <w:rFonts w:ascii="Arial" w:hAnsi="Arial"/>
          <w:sz w:val="20"/>
        </w:rPr>
        <w:t>.</w:t>
      </w:r>
    </w:p>
    <w:p w:rsidR="00CA7CB8" w:rsidRPr="004753D8" w:rsidRDefault="00CA7CB8" w:rsidP="00CA7CB8">
      <w:pPr>
        <w:rPr>
          <w:rFonts w:ascii="Arial" w:hAnsi="Arial"/>
          <w:sz w:val="20"/>
        </w:rPr>
      </w:pPr>
    </w:p>
    <w:p w:rsidR="00CA7CB8" w:rsidRPr="004753D8" w:rsidRDefault="00CA7CB8" w:rsidP="00CA7CB8">
      <w:pPr>
        <w:tabs>
          <w:tab w:val="left" w:pos="-1440"/>
        </w:tabs>
        <w:ind w:left="360" w:hanging="360"/>
        <w:rPr>
          <w:rFonts w:ascii="Arial" w:hAnsi="Arial"/>
          <w:sz w:val="20"/>
        </w:rPr>
      </w:pPr>
      <w:r w:rsidRPr="004753D8">
        <w:rPr>
          <w:rFonts w:ascii="Arial" w:hAnsi="Arial"/>
          <w:sz w:val="20"/>
        </w:rPr>
        <w:t>B.</w:t>
      </w:r>
      <w:r w:rsidRPr="004753D8">
        <w:rPr>
          <w:rFonts w:ascii="Arial" w:hAnsi="Arial"/>
          <w:sz w:val="20"/>
        </w:rPr>
        <w:tab/>
        <w:t>Summarize the circumstances which require this action.  If the Action is required by federal regulation, attach a copy of the applicable regulation.</w:t>
      </w:r>
    </w:p>
    <w:p w:rsidR="00CA7CB8" w:rsidRPr="004753D8" w:rsidRDefault="00CA7CB8" w:rsidP="00CA7CB8">
      <w:pPr>
        <w:rPr>
          <w:rFonts w:ascii="Arial" w:hAnsi="Arial"/>
          <w:sz w:val="20"/>
        </w:rPr>
      </w:pPr>
    </w:p>
    <w:p w:rsidR="00CA7CB8" w:rsidRPr="004753D8" w:rsidRDefault="00CA7CB8" w:rsidP="00CA7CB8">
      <w:pPr>
        <w:ind w:left="360"/>
        <w:rPr>
          <w:rFonts w:ascii="Arial" w:hAnsi="Arial"/>
          <w:sz w:val="20"/>
        </w:rPr>
      </w:pPr>
      <w:r>
        <w:rPr>
          <w:rFonts w:ascii="Arial" w:hAnsi="Arial"/>
          <w:sz w:val="20"/>
        </w:rPr>
        <w:t>Louisiana Revised Statutes (multiple citations) require that the department shall promulgate rules and regulations for the implementation of these Sections in accordance with the Administrative Procedure Act.</w:t>
      </w:r>
    </w:p>
    <w:p w:rsidR="00CA7CB8" w:rsidRPr="004753D8" w:rsidRDefault="00CA7CB8" w:rsidP="00CA7CB8">
      <w:pPr>
        <w:rPr>
          <w:rFonts w:ascii="Arial" w:hAnsi="Arial"/>
          <w:sz w:val="20"/>
        </w:rPr>
      </w:pPr>
    </w:p>
    <w:p w:rsidR="00CA7CB8" w:rsidRPr="004753D8" w:rsidRDefault="00CA7CB8" w:rsidP="00CA7CB8">
      <w:pPr>
        <w:rPr>
          <w:rFonts w:ascii="Arial" w:hAnsi="Arial"/>
          <w:sz w:val="20"/>
        </w:rPr>
      </w:pPr>
    </w:p>
    <w:p w:rsidR="00CA7CB8" w:rsidRPr="004753D8" w:rsidRDefault="00CA7CB8" w:rsidP="00CA7CB8">
      <w:pPr>
        <w:tabs>
          <w:tab w:val="left" w:pos="-1440"/>
        </w:tabs>
        <w:ind w:left="360" w:hanging="360"/>
        <w:rPr>
          <w:rFonts w:ascii="Arial" w:hAnsi="Arial"/>
          <w:sz w:val="20"/>
        </w:rPr>
      </w:pPr>
      <w:r w:rsidRPr="004753D8">
        <w:rPr>
          <w:rFonts w:ascii="Arial" w:hAnsi="Arial"/>
          <w:sz w:val="20"/>
        </w:rPr>
        <w:t>C.</w:t>
      </w:r>
      <w:r w:rsidRPr="004753D8">
        <w:rPr>
          <w:rFonts w:ascii="Arial" w:hAnsi="Arial"/>
          <w:sz w:val="20"/>
        </w:rPr>
        <w:tab/>
        <w:t>Compliance with Act 11 of the 1986 First Extraordinary Session</w:t>
      </w:r>
    </w:p>
    <w:p w:rsidR="00CA7CB8" w:rsidRPr="004753D8" w:rsidRDefault="00CA7CB8" w:rsidP="00CA7CB8">
      <w:pPr>
        <w:ind w:left="360"/>
        <w:rPr>
          <w:rFonts w:ascii="Arial" w:hAnsi="Arial"/>
          <w:sz w:val="20"/>
        </w:rPr>
      </w:pPr>
      <w:r w:rsidRPr="004753D8">
        <w:rPr>
          <w:rFonts w:ascii="Arial" w:hAnsi="Arial"/>
          <w:sz w:val="20"/>
        </w:rPr>
        <w:t>(1)</w:t>
      </w:r>
      <w:r w:rsidRPr="004753D8">
        <w:rPr>
          <w:rFonts w:ascii="Arial" w:hAnsi="Arial"/>
          <w:sz w:val="20"/>
        </w:rPr>
        <w:tab/>
        <w:t>Will the proposed rule change result in any increase in the expenditure of funds?  If so, specify amount and source of funding.</w:t>
      </w:r>
    </w:p>
    <w:p w:rsidR="00CA7CB8" w:rsidRPr="004753D8" w:rsidRDefault="00CA7CB8" w:rsidP="00CA7CB8">
      <w:pPr>
        <w:rPr>
          <w:rFonts w:ascii="Arial" w:hAnsi="Arial"/>
          <w:sz w:val="20"/>
        </w:rPr>
      </w:pPr>
    </w:p>
    <w:p w:rsidR="00CA7CB8" w:rsidRPr="00BC6B6F" w:rsidRDefault="00CA7CB8" w:rsidP="00CA7CB8">
      <w:pPr>
        <w:ind w:left="720"/>
        <w:rPr>
          <w:rFonts w:ascii="Arial" w:hAnsi="Arial"/>
          <w:sz w:val="20"/>
        </w:rPr>
      </w:pPr>
      <w:r>
        <w:rPr>
          <w:rFonts w:ascii="Arial" w:hAnsi="Arial"/>
          <w:sz w:val="20"/>
        </w:rPr>
        <w:t>No, this proposed rule will not result in any increase in the expenditure of funds.</w:t>
      </w:r>
    </w:p>
    <w:p w:rsidR="00CA7CB8" w:rsidRPr="004753D8" w:rsidRDefault="00CA7CB8" w:rsidP="00CA7CB8">
      <w:pPr>
        <w:rPr>
          <w:rFonts w:ascii="Arial" w:hAnsi="Arial"/>
          <w:sz w:val="20"/>
        </w:rPr>
      </w:pPr>
    </w:p>
    <w:p w:rsidR="00CA7CB8" w:rsidRPr="004753D8" w:rsidRDefault="00CA7CB8" w:rsidP="00CA7CB8">
      <w:pPr>
        <w:ind w:left="360"/>
        <w:rPr>
          <w:rFonts w:ascii="Arial" w:hAnsi="Arial"/>
          <w:sz w:val="20"/>
        </w:rPr>
      </w:pPr>
      <w:r w:rsidRPr="004753D8">
        <w:rPr>
          <w:rFonts w:ascii="Arial" w:hAnsi="Arial"/>
          <w:sz w:val="20"/>
        </w:rPr>
        <w:t>(2)</w:t>
      </w:r>
      <w:r w:rsidRPr="004753D8">
        <w:rPr>
          <w:rFonts w:ascii="Arial" w:hAnsi="Arial"/>
          <w:sz w:val="20"/>
        </w:rPr>
        <w:tab/>
        <w:t>If the answer to (1) above is yes, has the Legislature specifically appropriated the funds necessary for the associated expenditure increase?</w:t>
      </w:r>
    </w:p>
    <w:p w:rsidR="00CA7CB8" w:rsidRPr="004753D8" w:rsidRDefault="00CA7CB8" w:rsidP="00CA7CB8">
      <w:pPr>
        <w:rPr>
          <w:rFonts w:ascii="Arial" w:hAnsi="Arial"/>
          <w:sz w:val="20"/>
        </w:rPr>
      </w:pPr>
    </w:p>
    <w:p w:rsidR="00CA7CB8" w:rsidRPr="004753D8" w:rsidRDefault="00CA7CB8" w:rsidP="00CA7CB8">
      <w:pPr>
        <w:tabs>
          <w:tab w:val="left" w:pos="-1440"/>
        </w:tabs>
        <w:ind w:left="720"/>
        <w:rPr>
          <w:rFonts w:ascii="Arial" w:hAnsi="Arial"/>
          <w:sz w:val="20"/>
        </w:rPr>
      </w:pPr>
      <w:r w:rsidRPr="004753D8">
        <w:rPr>
          <w:rFonts w:ascii="Arial" w:hAnsi="Arial"/>
          <w:sz w:val="20"/>
        </w:rPr>
        <w:t xml:space="preserve">(a) </w:t>
      </w:r>
      <w:r w:rsidRPr="004753D8">
        <w:rPr>
          <w:rFonts w:ascii="Arial" w:hAnsi="Arial"/>
          <w:sz w:val="20"/>
          <w:u w:val="single"/>
        </w:rPr>
        <w:t xml:space="preserve">       </w:t>
      </w:r>
      <w:r w:rsidRPr="004753D8">
        <w:rPr>
          <w:rFonts w:ascii="Arial" w:hAnsi="Arial"/>
          <w:sz w:val="20"/>
        </w:rPr>
        <w:tab/>
        <w:t>Yes.  If yes, attach documentation.</w:t>
      </w:r>
    </w:p>
    <w:p w:rsidR="00CA7CB8" w:rsidRPr="004753D8" w:rsidRDefault="00CA7CB8" w:rsidP="00CA7CB8">
      <w:pPr>
        <w:tabs>
          <w:tab w:val="left" w:pos="-1440"/>
        </w:tabs>
        <w:ind w:left="720"/>
        <w:rPr>
          <w:rFonts w:ascii="Arial" w:hAnsi="Arial"/>
          <w:sz w:val="20"/>
        </w:rPr>
      </w:pPr>
      <w:r w:rsidRPr="004753D8">
        <w:rPr>
          <w:rFonts w:ascii="Arial" w:hAnsi="Arial"/>
          <w:sz w:val="20"/>
        </w:rPr>
        <w:t xml:space="preserve">(b) </w:t>
      </w:r>
      <w:r w:rsidRPr="004753D8">
        <w:rPr>
          <w:rFonts w:ascii="Arial" w:hAnsi="Arial"/>
          <w:sz w:val="20"/>
          <w:u w:val="single"/>
        </w:rPr>
        <w:t xml:space="preserve">       </w:t>
      </w:r>
      <w:r w:rsidRPr="004753D8">
        <w:rPr>
          <w:rFonts w:ascii="Arial" w:hAnsi="Arial"/>
          <w:sz w:val="20"/>
        </w:rPr>
        <w:tab/>
        <w:t>No.  If no, provide justification as to why this rule change should be published at this time.</w:t>
      </w:r>
    </w:p>
    <w:p w:rsidR="00CA7CB8" w:rsidRDefault="00CA7CB8" w:rsidP="00CA7CB8">
      <w:pPr>
        <w:rPr>
          <w:rFonts w:ascii="Arial" w:hAnsi="Arial"/>
          <w:sz w:val="20"/>
        </w:rPr>
      </w:pPr>
    </w:p>
    <w:p w:rsidR="00CA7CB8" w:rsidRPr="004753D8" w:rsidRDefault="00CA7CB8" w:rsidP="00CA7CB8">
      <w:pPr>
        <w:ind w:left="720"/>
        <w:rPr>
          <w:rFonts w:ascii="Arial" w:hAnsi="Arial"/>
          <w:sz w:val="20"/>
        </w:rPr>
      </w:pPr>
      <w:r w:rsidRPr="00BC6B6F">
        <w:rPr>
          <w:rFonts w:ascii="Arial" w:hAnsi="Arial"/>
          <w:sz w:val="20"/>
        </w:rPr>
        <w:t>This question is not applicable.</w:t>
      </w:r>
    </w:p>
    <w:p w:rsidR="00CA7CB8" w:rsidRPr="004753D8" w:rsidRDefault="00CA7CB8" w:rsidP="00CA7CB8">
      <w:pPr>
        <w:ind w:left="720"/>
        <w:rPr>
          <w:rFonts w:ascii="Arial" w:hAnsi="Arial"/>
          <w:sz w:val="20"/>
        </w:rPr>
      </w:pPr>
    </w:p>
    <w:p w:rsidR="00CA7CB8" w:rsidRPr="004753D8" w:rsidRDefault="00CA7CB8" w:rsidP="00CA7CB8">
      <w:pPr>
        <w:ind w:left="720"/>
        <w:rPr>
          <w:rFonts w:ascii="Arial" w:hAnsi="Arial"/>
          <w:sz w:val="20"/>
        </w:rPr>
        <w:sectPr w:rsidR="00CA7CB8" w:rsidRPr="004753D8" w:rsidSect="00CA7CB8">
          <w:endnotePr>
            <w:numFmt w:val="decimal"/>
          </w:endnotePr>
          <w:pgSz w:w="12240" w:h="15840" w:code="1"/>
          <w:pgMar w:top="1440" w:right="1440" w:bottom="1440" w:left="1440" w:header="360" w:footer="720" w:gutter="0"/>
          <w:paperSrc w:first="4" w:other="4"/>
          <w:cols w:space="720"/>
          <w:noEndnote/>
        </w:sectPr>
      </w:pPr>
    </w:p>
    <w:p w:rsidR="00CA7CB8" w:rsidRPr="004753D8" w:rsidRDefault="00CA7CB8" w:rsidP="00CA7CB8">
      <w:pPr>
        <w:jc w:val="center"/>
        <w:rPr>
          <w:rFonts w:ascii="Arial" w:hAnsi="Arial"/>
          <w:sz w:val="20"/>
        </w:rPr>
      </w:pPr>
      <w:r w:rsidRPr="004753D8">
        <w:rPr>
          <w:rFonts w:ascii="Arial" w:hAnsi="Arial"/>
          <w:sz w:val="20"/>
        </w:rPr>
        <w:t>FISCAL AND ECONOMIC IMPACT STATEMENT</w:t>
      </w:r>
    </w:p>
    <w:p w:rsidR="00CA7CB8" w:rsidRPr="004753D8" w:rsidRDefault="00CA7CB8" w:rsidP="00CA7CB8">
      <w:pPr>
        <w:jc w:val="center"/>
        <w:rPr>
          <w:rFonts w:ascii="Arial" w:hAnsi="Arial"/>
          <w:sz w:val="20"/>
        </w:rPr>
      </w:pPr>
    </w:p>
    <w:p w:rsidR="00CA7CB8" w:rsidRPr="004753D8" w:rsidRDefault="00CA7CB8" w:rsidP="00CA7CB8">
      <w:pPr>
        <w:jc w:val="center"/>
        <w:rPr>
          <w:rFonts w:ascii="Arial" w:hAnsi="Arial"/>
          <w:sz w:val="20"/>
        </w:rPr>
      </w:pPr>
      <w:r w:rsidRPr="004753D8">
        <w:rPr>
          <w:rFonts w:ascii="Arial" w:hAnsi="Arial"/>
          <w:sz w:val="20"/>
        </w:rPr>
        <w:t>WORKSHEET</w:t>
      </w:r>
    </w:p>
    <w:p w:rsidR="00CA7CB8" w:rsidRPr="004753D8" w:rsidRDefault="00CA7CB8" w:rsidP="00CA7CB8">
      <w:pPr>
        <w:rPr>
          <w:rFonts w:ascii="Arial" w:hAnsi="Arial"/>
          <w:sz w:val="20"/>
        </w:rPr>
      </w:pPr>
    </w:p>
    <w:p w:rsidR="00CA7CB8" w:rsidRPr="004753D8" w:rsidRDefault="00CA7CB8" w:rsidP="00CA7CB8">
      <w:pPr>
        <w:rPr>
          <w:rFonts w:ascii="Arial" w:hAnsi="Arial"/>
          <w:sz w:val="20"/>
        </w:rPr>
      </w:pPr>
    </w:p>
    <w:p w:rsidR="00CA7CB8" w:rsidRPr="004753D8" w:rsidRDefault="00CA7CB8" w:rsidP="00CA7CB8">
      <w:pPr>
        <w:tabs>
          <w:tab w:val="left" w:pos="-1440"/>
        </w:tabs>
        <w:ind w:left="720" w:hanging="720"/>
        <w:rPr>
          <w:rFonts w:ascii="Arial" w:hAnsi="Arial"/>
          <w:sz w:val="20"/>
        </w:rPr>
      </w:pPr>
      <w:r w:rsidRPr="004753D8">
        <w:rPr>
          <w:rFonts w:ascii="Arial" w:hAnsi="Arial"/>
          <w:sz w:val="20"/>
        </w:rPr>
        <w:t>I.</w:t>
      </w:r>
      <w:r w:rsidRPr="004753D8">
        <w:rPr>
          <w:rFonts w:ascii="Arial" w:hAnsi="Arial"/>
          <w:sz w:val="20"/>
        </w:rPr>
        <w:tab/>
        <w:t>A.</w:t>
      </w:r>
      <w:r w:rsidRPr="004753D8">
        <w:rPr>
          <w:rFonts w:ascii="Arial" w:hAnsi="Arial"/>
          <w:sz w:val="20"/>
        </w:rPr>
        <w:tab/>
      </w:r>
      <w:r w:rsidRPr="004753D8">
        <w:rPr>
          <w:rFonts w:ascii="Arial" w:hAnsi="Arial"/>
          <w:sz w:val="20"/>
          <w:u w:val="single"/>
        </w:rPr>
        <w:t>COSTS OR SAVINGS TO STATE AGENCIES RESULTING FROM THE ACTION PROPOSED</w:t>
      </w:r>
    </w:p>
    <w:p w:rsidR="00CA7CB8" w:rsidRPr="004753D8" w:rsidRDefault="00CA7CB8" w:rsidP="00CA7CB8">
      <w:pPr>
        <w:rPr>
          <w:rFonts w:ascii="Arial" w:hAnsi="Arial"/>
          <w:sz w:val="20"/>
        </w:rPr>
      </w:pPr>
    </w:p>
    <w:p w:rsidR="00CA7CB8" w:rsidRPr="004753D8" w:rsidRDefault="00CA7CB8" w:rsidP="00CA7CB8">
      <w:pPr>
        <w:tabs>
          <w:tab w:val="left" w:pos="-1440"/>
        </w:tabs>
        <w:ind w:left="360"/>
        <w:rPr>
          <w:rFonts w:ascii="Arial" w:hAnsi="Arial"/>
          <w:sz w:val="20"/>
        </w:rPr>
      </w:pPr>
      <w:r w:rsidRPr="004753D8">
        <w:rPr>
          <w:rFonts w:ascii="Arial" w:hAnsi="Arial"/>
          <w:sz w:val="20"/>
        </w:rPr>
        <w:t>1.</w:t>
      </w:r>
      <w:r w:rsidRPr="004753D8">
        <w:rPr>
          <w:rFonts w:ascii="Arial" w:hAnsi="Arial"/>
          <w:sz w:val="20"/>
        </w:rPr>
        <w:tab/>
        <w:t>What is the anticipated increase (decrease) in costs to implement the proposed action?</w:t>
      </w:r>
    </w:p>
    <w:p w:rsidR="00CA7CB8" w:rsidRDefault="00CA7CB8" w:rsidP="00CA7CB8">
      <w:pPr>
        <w:tabs>
          <w:tab w:val="left" w:pos="-1440"/>
        </w:tabs>
        <w:rPr>
          <w:rFonts w:ascii="Arial" w:hAnsi="Arial"/>
          <w:sz w:val="20"/>
        </w:rPr>
      </w:pPr>
    </w:p>
    <w:p w:rsidR="00CA7CB8" w:rsidRPr="00440001" w:rsidRDefault="00CA7CB8" w:rsidP="00CA7CB8">
      <w:pPr>
        <w:pBdr>
          <w:top w:val="single" w:sz="4" w:space="1" w:color="auto"/>
          <w:bottom w:val="single" w:sz="4" w:space="1" w:color="auto"/>
        </w:pBdr>
        <w:tabs>
          <w:tab w:val="left" w:pos="-1440"/>
        </w:tabs>
        <w:rPr>
          <w:rFonts w:ascii="Arial" w:hAnsi="Arial"/>
          <w:sz w:val="20"/>
        </w:rPr>
      </w:pPr>
      <w:r w:rsidRPr="00440001">
        <w:rPr>
          <w:rFonts w:ascii="Arial" w:hAnsi="Arial"/>
          <w:sz w:val="20"/>
        </w:rPr>
        <w:t>COSTS</w:t>
      </w:r>
      <w:r w:rsidRPr="00440001">
        <w:rPr>
          <w:rFonts w:ascii="Arial" w:hAnsi="Arial"/>
          <w:sz w:val="20"/>
        </w:rPr>
        <w:tab/>
      </w:r>
      <w:r w:rsidRPr="00440001">
        <w:rPr>
          <w:rFonts w:ascii="Arial" w:hAnsi="Arial"/>
          <w:sz w:val="20"/>
        </w:rPr>
        <w:tab/>
      </w:r>
      <w:r w:rsidRPr="00440001">
        <w:rPr>
          <w:rFonts w:ascii="Arial" w:hAnsi="Arial"/>
          <w:sz w:val="20"/>
        </w:rPr>
        <w:tab/>
      </w:r>
      <w:r w:rsidRPr="00440001">
        <w:rPr>
          <w:rFonts w:ascii="Arial" w:hAnsi="Arial"/>
          <w:sz w:val="20"/>
        </w:rPr>
        <w:tab/>
      </w:r>
      <w:r w:rsidRPr="00440001">
        <w:rPr>
          <w:rFonts w:ascii="Arial" w:hAnsi="Arial"/>
          <w:sz w:val="20"/>
        </w:rPr>
        <w:tab/>
      </w:r>
      <w:r w:rsidRPr="00440001">
        <w:rPr>
          <w:rFonts w:ascii="Arial" w:hAnsi="Arial"/>
          <w:sz w:val="20"/>
        </w:rPr>
        <w:tab/>
      </w:r>
      <w:r w:rsidRPr="00440001">
        <w:rPr>
          <w:rFonts w:ascii="Arial" w:hAnsi="Arial"/>
          <w:sz w:val="20"/>
        </w:rPr>
        <w:tab/>
      </w:r>
      <w:r w:rsidRPr="00440001">
        <w:rPr>
          <w:rFonts w:ascii="Arial" w:hAnsi="Arial"/>
          <w:sz w:val="20"/>
        </w:rPr>
        <w:tab/>
      </w:r>
      <w:r w:rsidRPr="00440001">
        <w:rPr>
          <w:rFonts w:ascii="Arial" w:hAnsi="Arial"/>
          <w:sz w:val="20"/>
        </w:rPr>
        <w:tab/>
        <w:t>FY1</w:t>
      </w:r>
      <w:r>
        <w:rPr>
          <w:rFonts w:ascii="Arial" w:hAnsi="Arial"/>
          <w:sz w:val="20"/>
        </w:rPr>
        <w:t>8</w:t>
      </w:r>
      <w:r w:rsidRPr="00440001">
        <w:rPr>
          <w:rFonts w:ascii="Arial" w:hAnsi="Arial"/>
          <w:sz w:val="20"/>
        </w:rPr>
        <w:t>-1</w:t>
      </w:r>
      <w:r>
        <w:rPr>
          <w:rFonts w:ascii="Arial" w:hAnsi="Arial"/>
          <w:sz w:val="20"/>
        </w:rPr>
        <w:t>9</w:t>
      </w:r>
      <w:r w:rsidRPr="00440001">
        <w:rPr>
          <w:rFonts w:ascii="Arial" w:hAnsi="Arial"/>
          <w:sz w:val="20"/>
        </w:rPr>
        <w:tab/>
      </w:r>
      <w:r w:rsidRPr="00440001">
        <w:rPr>
          <w:rFonts w:ascii="Arial" w:hAnsi="Arial"/>
          <w:sz w:val="20"/>
        </w:rPr>
        <w:tab/>
      </w:r>
      <w:r w:rsidRPr="00440001">
        <w:rPr>
          <w:rFonts w:ascii="Arial" w:hAnsi="Arial"/>
          <w:sz w:val="20"/>
        </w:rPr>
        <w:tab/>
        <w:t>FY1</w:t>
      </w:r>
      <w:r>
        <w:rPr>
          <w:rFonts w:ascii="Arial" w:hAnsi="Arial"/>
          <w:sz w:val="20"/>
        </w:rPr>
        <w:t>9</w:t>
      </w:r>
      <w:r w:rsidRPr="00440001">
        <w:rPr>
          <w:rFonts w:ascii="Arial" w:hAnsi="Arial"/>
          <w:sz w:val="20"/>
        </w:rPr>
        <w:t>-</w:t>
      </w:r>
      <w:r>
        <w:rPr>
          <w:rFonts w:ascii="Arial" w:hAnsi="Arial"/>
          <w:sz w:val="20"/>
        </w:rPr>
        <w:t>20</w:t>
      </w:r>
      <w:r w:rsidRPr="00440001">
        <w:rPr>
          <w:rFonts w:ascii="Arial" w:hAnsi="Arial"/>
          <w:sz w:val="20"/>
        </w:rPr>
        <w:tab/>
      </w:r>
      <w:r w:rsidRPr="00440001">
        <w:rPr>
          <w:rFonts w:ascii="Arial" w:hAnsi="Arial"/>
          <w:sz w:val="20"/>
        </w:rPr>
        <w:tab/>
      </w:r>
      <w:r w:rsidRPr="00440001">
        <w:rPr>
          <w:rFonts w:ascii="Arial" w:hAnsi="Arial"/>
          <w:sz w:val="20"/>
        </w:rPr>
        <w:tab/>
        <w:t>FY</w:t>
      </w:r>
      <w:r>
        <w:rPr>
          <w:rFonts w:ascii="Arial" w:hAnsi="Arial"/>
          <w:sz w:val="20"/>
        </w:rPr>
        <w:t>20</w:t>
      </w:r>
      <w:r w:rsidRPr="00440001">
        <w:rPr>
          <w:rFonts w:ascii="Arial" w:hAnsi="Arial"/>
          <w:sz w:val="20"/>
        </w:rPr>
        <w:t>-2</w:t>
      </w:r>
      <w:r>
        <w:rPr>
          <w:rFonts w:ascii="Arial" w:hAnsi="Arial"/>
          <w:sz w:val="20"/>
        </w:rPr>
        <w:t>1</w:t>
      </w:r>
      <w:r w:rsidRPr="00440001">
        <w:rPr>
          <w:rFonts w:ascii="Arial" w:hAnsi="Arial"/>
          <w:sz w:val="20"/>
        </w:rPr>
        <w:tab/>
      </w:r>
      <w:r w:rsidRPr="00440001">
        <w:rPr>
          <w:rFonts w:ascii="Arial" w:hAnsi="Arial"/>
          <w:sz w:val="20"/>
        </w:rPr>
        <w:tab/>
      </w:r>
    </w:p>
    <w:p w:rsidR="00CA7CB8" w:rsidRPr="004753D8" w:rsidRDefault="00CA7CB8" w:rsidP="00CA7CB8">
      <w:pPr>
        <w:rPr>
          <w:rFonts w:ascii="Arial" w:hAnsi="Arial"/>
          <w:sz w:val="20"/>
          <w:u w:val="single"/>
        </w:rPr>
      </w:pPr>
      <w:r w:rsidRPr="004753D8">
        <w:rPr>
          <w:rFonts w:ascii="Arial" w:hAnsi="Arial"/>
          <w:sz w:val="20"/>
        </w:rPr>
        <w:t>PERSONAL SERVICES</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4753D8" w:rsidRDefault="00CA7CB8" w:rsidP="00CA7CB8">
      <w:pPr>
        <w:rPr>
          <w:rFonts w:ascii="Arial" w:hAnsi="Arial"/>
          <w:sz w:val="20"/>
          <w:u w:val="single"/>
        </w:rPr>
      </w:pPr>
      <w:r w:rsidRPr="004753D8">
        <w:rPr>
          <w:rFonts w:ascii="Arial" w:hAnsi="Arial"/>
          <w:sz w:val="20"/>
        </w:rPr>
        <w:t>OPERATING EXPENSES</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4753D8" w:rsidRDefault="00CA7CB8" w:rsidP="00CA7CB8">
      <w:pPr>
        <w:rPr>
          <w:rFonts w:ascii="Arial" w:hAnsi="Arial"/>
          <w:sz w:val="20"/>
          <w:u w:val="single"/>
        </w:rPr>
      </w:pPr>
      <w:r w:rsidRPr="004753D8">
        <w:rPr>
          <w:rFonts w:ascii="Arial" w:hAnsi="Arial"/>
          <w:sz w:val="20"/>
        </w:rPr>
        <w:t>PROFESSIONAL SERVICES</w:t>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4753D8" w:rsidRDefault="00CA7CB8" w:rsidP="00CA7CB8">
      <w:pPr>
        <w:rPr>
          <w:rFonts w:ascii="Arial" w:hAnsi="Arial"/>
          <w:sz w:val="20"/>
          <w:u w:val="single"/>
        </w:rPr>
      </w:pPr>
      <w:r w:rsidRPr="004753D8">
        <w:rPr>
          <w:rFonts w:ascii="Arial" w:hAnsi="Arial"/>
          <w:sz w:val="20"/>
        </w:rPr>
        <w:t>OTHER CHARGES</w:t>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7619BE" w:rsidRDefault="00CA7CB8" w:rsidP="00CA7CB8">
      <w:pPr>
        <w:pBdr>
          <w:bottom w:val="single" w:sz="4" w:space="1" w:color="auto"/>
        </w:pBdr>
        <w:rPr>
          <w:rFonts w:ascii="Arial" w:hAnsi="Arial"/>
          <w:sz w:val="20"/>
        </w:rPr>
      </w:pPr>
      <w:r w:rsidRPr="007619BE">
        <w:rPr>
          <w:rFonts w:ascii="Arial" w:hAnsi="Arial"/>
          <w:sz w:val="20"/>
        </w:rPr>
        <w:t>EQUIPMENT</w:t>
      </w:r>
      <w:r w:rsidRPr="007619BE">
        <w:rPr>
          <w:rFonts w:ascii="Arial" w:hAnsi="Arial"/>
          <w:sz w:val="20"/>
        </w:rPr>
        <w:tab/>
      </w:r>
      <w:r w:rsidRPr="007619BE">
        <w:rPr>
          <w:rFonts w:ascii="Arial" w:hAnsi="Arial"/>
          <w:sz w:val="20"/>
        </w:rPr>
        <w:tab/>
      </w:r>
      <w:r w:rsidRPr="007619BE">
        <w:rPr>
          <w:rFonts w:ascii="Arial" w:hAnsi="Arial"/>
          <w:sz w:val="20"/>
        </w:rPr>
        <w:tab/>
      </w:r>
      <w:r w:rsidRPr="007619BE">
        <w:rPr>
          <w:rFonts w:ascii="Arial" w:hAnsi="Arial"/>
          <w:sz w:val="20"/>
        </w:rPr>
        <w:tab/>
      </w:r>
      <w:r w:rsidRPr="007619BE">
        <w:rPr>
          <w:rFonts w:ascii="Arial" w:hAnsi="Arial"/>
          <w:sz w:val="20"/>
        </w:rPr>
        <w:tab/>
      </w:r>
      <w:r>
        <w:rPr>
          <w:rFonts w:ascii="Arial" w:hAnsi="Arial"/>
          <w:sz w:val="20"/>
        </w:rPr>
        <w:tab/>
      </w:r>
      <w:r>
        <w:rPr>
          <w:rFonts w:ascii="Arial" w:hAnsi="Arial"/>
          <w:sz w:val="20"/>
        </w:rPr>
        <w:tab/>
      </w:r>
      <w:r>
        <w:rPr>
          <w:rFonts w:ascii="Arial" w:hAnsi="Arial"/>
          <w:sz w:val="20"/>
        </w:rPr>
        <w:tab/>
      </w:r>
      <w:r w:rsidRPr="007619BE">
        <w:rPr>
          <w:rFonts w:ascii="Arial" w:hAnsi="Arial"/>
          <w:sz w:val="20"/>
        </w:rPr>
        <w:t>-0-</w:t>
      </w:r>
      <w:r w:rsidRPr="007619BE">
        <w:rPr>
          <w:rFonts w:ascii="Arial" w:hAnsi="Arial"/>
          <w:sz w:val="20"/>
        </w:rPr>
        <w:tab/>
      </w:r>
      <w:r w:rsidRPr="007619BE">
        <w:rPr>
          <w:rFonts w:ascii="Arial" w:hAnsi="Arial"/>
          <w:sz w:val="20"/>
        </w:rPr>
        <w:tab/>
      </w:r>
      <w:r w:rsidRPr="007619BE">
        <w:rPr>
          <w:rFonts w:ascii="Arial" w:hAnsi="Arial"/>
          <w:sz w:val="20"/>
        </w:rPr>
        <w:tab/>
      </w:r>
      <w:r w:rsidRPr="007619BE">
        <w:rPr>
          <w:rFonts w:ascii="Arial" w:hAnsi="Arial"/>
          <w:sz w:val="20"/>
        </w:rPr>
        <w:tab/>
      </w:r>
      <w:r w:rsidRPr="007619BE">
        <w:rPr>
          <w:rFonts w:ascii="Arial" w:hAnsi="Arial"/>
          <w:sz w:val="20"/>
        </w:rPr>
        <w:tab/>
        <w:t>-0-</w:t>
      </w:r>
      <w:r w:rsidRPr="007619BE">
        <w:rPr>
          <w:rFonts w:ascii="Arial" w:hAnsi="Arial"/>
          <w:sz w:val="20"/>
        </w:rPr>
        <w:tab/>
      </w:r>
      <w:r w:rsidRPr="007619BE">
        <w:rPr>
          <w:rFonts w:ascii="Arial" w:hAnsi="Arial"/>
          <w:sz w:val="20"/>
        </w:rPr>
        <w:tab/>
      </w:r>
      <w:r w:rsidRPr="007619BE">
        <w:rPr>
          <w:rFonts w:ascii="Arial" w:hAnsi="Arial"/>
          <w:sz w:val="20"/>
        </w:rPr>
        <w:tab/>
      </w:r>
      <w:r w:rsidRPr="007619BE">
        <w:rPr>
          <w:rFonts w:ascii="Arial" w:hAnsi="Arial"/>
          <w:sz w:val="20"/>
        </w:rPr>
        <w:tab/>
      </w:r>
      <w:r w:rsidRPr="007619BE">
        <w:rPr>
          <w:rFonts w:ascii="Arial" w:hAnsi="Arial"/>
          <w:sz w:val="20"/>
        </w:rPr>
        <w:tab/>
        <w:t>-0-</w:t>
      </w:r>
    </w:p>
    <w:p w:rsidR="00CA7CB8" w:rsidRPr="007619BE" w:rsidRDefault="00CA7CB8" w:rsidP="00CA7CB8">
      <w:pPr>
        <w:rPr>
          <w:rFonts w:ascii="Arial" w:hAnsi="Arial"/>
          <w:sz w:val="20"/>
        </w:rPr>
      </w:pPr>
      <w:r w:rsidRPr="007619BE">
        <w:rPr>
          <w:rFonts w:ascii="Arial" w:hAnsi="Arial"/>
          <w:sz w:val="20"/>
        </w:rPr>
        <w:t>TOTAL</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p>
    <w:p w:rsidR="00CA7CB8" w:rsidRDefault="00CA7CB8" w:rsidP="00CA7CB8">
      <w:pPr>
        <w:rPr>
          <w:rFonts w:ascii="Arial" w:hAnsi="Arial"/>
          <w:sz w:val="20"/>
        </w:rPr>
      </w:pPr>
    </w:p>
    <w:p w:rsidR="00CA7CB8" w:rsidRDefault="00CA7CB8" w:rsidP="00CA7CB8">
      <w:pPr>
        <w:rPr>
          <w:rFonts w:ascii="Arial" w:hAnsi="Arial"/>
          <w:sz w:val="20"/>
        </w:rPr>
      </w:pPr>
      <w:r w:rsidRPr="007619BE">
        <w:rPr>
          <w:rFonts w:ascii="Arial" w:hAnsi="Arial"/>
          <w:sz w:val="20"/>
        </w:rPr>
        <w:t>MAJOR REPAIR &amp; CONSTR</w:t>
      </w:r>
      <w:r w:rsidRPr="007619BE">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7619BE" w:rsidRDefault="00CA7CB8" w:rsidP="00CA7CB8">
      <w:pPr>
        <w:rPr>
          <w:rFonts w:ascii="Arial" w:hAnsi="Arial"/>
          <w:sz w:val="20"/>
        </w:rPr>
      </w:pPr>
      <w:r w:rsidRPr="007619BE">
        <w:rPr>
          <w:rFonts w:ascii="Arial" w:hAnsi="Arial"/>
          <w:sz w:val="20"/>
        </w:rPr>
        <w:lastRenderedPageBreak/>
        <w:t>POSITIONS (#)</w:t>
      </w:r>
      <w:r w:rsidRPr="007619BE">
        <w:rPr>
          <w:rFonts w:ascii="Arial" w:hAnsi="Arial"/>
          <w:sz w:val="20"/>
        </w:rPr>
        <w:tab/>
      </w:r>
      <w:r w:rsidRPr="007619BE">
        <w:rPr>
          <w:rFonts w:ascii="Arial" w:hAnsi="Arial"/>
          <w:sz w:val="20"/>
        </w:rPr>
        <w:tab/>
      </w:r>
      <w:r w:rsidRPr="007619BE">
        <w:rPr>
          <w:rFonts w:ascii="Arial" w:hAnsi="Arial"/>
          <w:sz w:val="20"/>
        </w:rPr>
        <w:tab/>
      </w:r>
      <w:r w:rsidRPr="007619BE">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4753D8" w:rsidRDefault="00CA7CB8" w:rsidP="00CA7CB8">
      <w:pPr>
        <w:tabs>
          <w:tab w:val="left" w:pos="-1440"/>
        </w:tabs>
        <w:ind w:left="1440" w:hanging="720"/>
        <w:rPr>
          <w:rFonts w:ascii="Arial" w:hAnsi="Arial"/>
          <w:sz w:val="20"/>
        </w:rPr>
      </w:pPr>
    </w:p>
    <w:p w:rsidR="00CA7CB8" w:rsidRPr="004753D8" w:rsidRDefault="00CA7CB8" w:rsidP="00CA7CB8">
      <w:pPr>
        <w:tabs>
          <w:tab w:val="left" w:pos="-1440"/>
        </w:tabs>
        <w:ind w:left="720"/>
        <w:rPr>
          <w:rFonts w:ascii="Arial" w:hAnsi="Arial"/>
          <w:sz w:val="20"/>
        </w:rPr>
      </w:pPr>
      <w:r w:rsidRPr="004753D8">
        <w:rPr>
          <w:rFonts w:ascii="Arial" w:hAnsi="Arial"/>
          <w:sz w:val="20"/>
        </w:rPr>
        <w:t>2.</w:t>
      </w:r>
      <w:r w:rsidRPr="004753D8">
        <w:rPr>
          <w:rFonts w:ascii="Arial" w:hAnsi="Arial"/>
          <w:sz w:val="20"/>
        </w:rPr>
        <w:tab/>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CA7CB8" w:rsidRPr="004753D8" w:rsidRDefault="00CA7CB8" w:rsidP="00CA7CB8">
      <w:pPr>
        <w:rPr>
          <w:rFonts w:ascii="Arial" w:hAnsi="Arial"/>
          <w:sz w:val="20"/>
        </w:rPr>
      </w:pPr>
    </w:p>
    <w:p w:rsidR="00CA7CB8" w:rsidRPr="0060212A" w:rsidRDefault="00CA7CB8" w:rsidP="00CA7CB8">
      <w:pPr>
        <w:ind w:left="1440" w:hanging="720"/>
        <w:rPr>
          <w:rFonts w:ascii="Arial" w:hAnsi="Arial" w:cs="Arial"/>
          <w:sz w:val="20"/>
        </w:rPr>
      </w:pPr>
      <w:r>
        <w:rPr>
          <w:rFonts w:ascii="Arial" w:hAnsi="Arial" w:cs="Arial"/>
          <w:sz w:val="20"/>
        </w:rPr>
        <w:t>This question is not applicable.</w:t>
      </w:r>
    </w:p>
    <w:p w:rsidR="00CA7CB8" w:rsidRPr="004753D8" w:rsidRDefault="00CA7CB8" w:rsidP="00CA7CB8">
      <w:pPr>
        <w:ind w:firstLine="1440"/>
        <w:rPr>
          <w:rFonts w:ascii="Arial" w:hAnsi="Arial"/>
          <w:sz w:val="20"/>
        </w:rPr>
      </w:pPr>
    </w:p>
    <w:p w:rsidR="00CA7CB8" w:rsidRPr="004753D8" w:rsidRDefault="00CA7CB8" w:rsidP="00CA7CB8">
      <w:pPr>
        <w:ind w:left="1440"/>
        <w:rPr>
          <w:rFonts w:ascii="Arial" w:hAnsi="Arial"/>
          <w:sz w:val="20"/>
        </w:rPr>
      </w:pPr>
    </w:p>
    <w:p w:rsidR="00CA7CB8" w:rsidRPr="004753D8" w:rsidRDefault="00CA7CB8" w:rsidP="00CA7CB8">
      <w:pPr>
        <w:tabs>
          <w:tab w:val="left" w:pos="-1440"/>
        </w:tabs>
        <w:ind w:left="720"/>
        <w:rPr>
          <w:rFonts w:ascii="Arial" w:hAnsi="Arial"/>
          <w:sz w:val="20"/>
        </w:rPr>
      </w:pPr>
      <w:r w:rsidRPr="004753D8">
        <w:rPr>
          <w:rFonts w:ascii="Arial" w:hAnsi="Arial"/>
          <w:sz w:val="20"/>
        </w:rPr>
        <w:t>3.</w:t>
      </w:r>
      <w:r w:rsidRPr="004753D8">
        <w:rPr>
          <w:rFonts w:ascii="Arial" w:hAnsi="Arial"/>
          <w:sz w:val="20"/>
        </w:rPr>
        <w:tab/>
        <w:t>Sources of funding for implementing the proposed rule or rule change.</w:t>
      </w:r>
    </w:p>
    <w:p w:rsidR="00CA7CB8" w:rsidRDefault="00CA7CB8" w:rsidP="00CA7CB8">
      <w:pPr>
        <w:tabs>
          <w:tab w:val="left" w:pos="-1440"/>
        </w:tabs>
        <w:rPr>
          <w:rFonts w:ascii="Arial" w:hAnsi="Arial"/>
          <w:sz w:val="20"/>
        </w:rPr>
      </w:pPr>
    </w:p>
    <w:p w:rsidR="00CA7CB8" w:rsidRPr="00526976" w:rsidRDefault="00CA7CB8" w:rsidP="00CA7CB8">
      <w:pPr>
        <w:pBdr>
          <w:top w:val="single" w:sz="4" w:space="1" w:color="auto"/>
          <w:bottom w:val="single" w:sz="4" w:space="1" w:color="auto"/>
        </w:pBdr>
        <w:tabs>
          <w:tab w:val="left" w:pos="-1440"/>
        </w:tabs>
        <w:rPr>
          <w:rFonts w:ascii="Arial" w:hAnsi="Arial"/>
          <w:sz w:val="20"/>
        </w:rPr>
      </w:pPr>
      <w:r w:rsidRPr="00526976">
        <w:rPr>
          <w:rFonts w:ascii="Arial" w:hAnsi="Arial"/>
          <w:sz w:val="20"/>
        </w:rPr>
        <w:t>SOURCE</w:t>
      </w:r>
      <w:r w:rsidRPr="00526976">
        <w:rPr>
          <w:rFonts w:ascii="Arial" w:hAnsi="Arial"/>
          <w:sz w:val="20"/>
        </w:rPr>
        <w:tab/>
      </w:r>
      <w:r w:rsidRPr="00526976">
        <w:rPr>
          <w:rFonts w:ascii="Arial" w:hAnsi="Arial"/>
          <w:sz w:val="20"/>
        </w:rPr>
        <w:tab/>
      </w:r>
      <w:r w:rsidRPr="00526976">
        <w:rPr>
          <w:rFonts w:ascii="Arial" w:hAnsi="Arial"/>
          <w:sz w:val="20"/>
        </w:rPr>
        <w:tab/>
      </w:r>
      <w:r w:rsidRPr="00526976">
        <w:rPr>
          <w:rFonts w:ascii="Arial" w:hAnsi="Arial"/>
          <w:sz w:val="20"/>
        </w:rPr>
        <w:tab/>
      </w:r>
      <w:r w:rsidRPr="00526976">
        <w:rPr>
          <w:rFonts w:ascii="Arial" w:hAnsi="Arial"/>
          <w:sz w:val="20"/>
        </w:rPr>
        <w:tab/>
      </w:r>
      <w:r w:rsidRPr="00526976">
        <w:rPr>
          <w:rFonts w:ascii="Arial" w:hAnsi="Arial"/>
          <w:sz w:val="20"/>
        </w:rPr>
        <w:tab/>
      </w:r>
      <w:r w:rsidRPr="00526976">
        <w:rPr>
          <w:rFonts w:ascii="Arial" w:hAnsi="Arial"/>
          <w:sz w:val="20"/>
        </w:rPr>
        <w:tab/>
      </w:r>
      <w:r w:rsidRPr="00526976">
        <w:rPr>
          <w:rFonts w:ascii="Arial" w:hAnsi="Arial"/>
          <w:sz w:val="20"/>
        </w:rPr>
        <w:tab/>
        <w:t>FY1</w:t>
      </w:r>
      <w:r>
        <w:rPr>
          <w:rFonts w:ascii="Arial" w:hAnsi="Arial"/>
          <w:sz w:val="20"/>
        </w:rPr>
        <w:t>8</w:t>
      </w:r>
      <w:r w:rsidRPr="00526976">
        <w:rPr>
          <w:rFonts w:ascii="Arial" w:hAnsi="Arial"/>
          <w:sz w:val="20"/>
        </w:rPr>
        <w:t>-1</w:t>
      </w:r>
      <w:r>
        <w:rPr>
          <w:rFonts w:ascii="Arial" w:hAnsi="Arial"/>
          <w:sz w:val="20"/>
        </w:rPr>
        <w:t>9</w:t>
      </w:r>
      <w:r w:rsidRPr="00526976">
        <w:rPr>
          <w:rFonts w:ascii="Arial" w:hAnsi="Arial"/>
          <w:sz w:val="20"/>
        </w:rPr>
        <w:tab/>
      </w:r>
      <w:r w:rsidRPr="00526976">
        <w:rPr>
          <w:rFonts w:ascii="Arial" w:hAnsi="Arial"/>
          <w:sz w:val="20"/>
        </w:rPr>
        <w:tab/>
      </w:r>
      <w:r w:rsidRPr="00526976">
        <w:rPr>
          <w:rFonts w:ascii="Arial" w:hAnsi="Arial"/>
          <w:sz w:val="20"/>
        </w:rPr>
        <w:tab/>
        <w:t>FY1</w:t>
      </w:r>
      <w:r>
        <w:rPr>
          <w:rFonts w:ascii="Arial" w:hAnsi="Arial"/>
          <w:sz w:val="20"/>
        </w:rPr>
        <w:t>9</w:t>
      </w:r>
      <w:r w:rsidRPr="00526976">
        <w:rPr>
          <w:rFonts w:ascii="Arial" w:hAnsi="Arial"/>
          <w:sz w:val="20"/>
        </w:rPr>
        <w:t>-</w:t>
      </w:r>
      <w:r>
        <w:rPr>
          <w:rFonts w:ascii="Arial" w:hAnsi="Arial"/>
          <w:sz w:val="20"/>
        </w:rPr>
        <w:t>20</w:t>
      </w:r>
      <w:r w:rsidRPr="00526976">
        <w:rPr>
          <w:rFonts w:ascii="Arial" w:hAnsi="Arial"/>
          <w:sz w:val="20"/>
        </w:rPr>
        <w:tab/>
      </w:r>
      <w:r w:rsidRPr="00526976">
        <w:rPr>
          <w:rFonts w:ascii="Arial" w:hAnsi="Arial"/>
          <w:sz w:val="20"/>
        </w:rPr>
        <w:tab/>
      </w:r>
      <w:r w:rsidRPr="00526976">
        <w:rPr>
          <w:rFonts w:ascii="Arial" w:hAnsi="Arial"/>
          <w:sz w:val="20"/>
        </w:rPr>
        <w:tab/>
        <w:t>FY</w:t>
      </w:r>
      <w:r>
        <w:rPr>
          <w:rFonts w:ascii="Arial" w:hAnsi="Arial"/>
          <w:sz w:val="20"/>
        </w:rPr>
        <w:t>20</w:t>
      </w:r>
      <w:r w:rsidRPr="00526976">
        <w:rPr>
          <w:rFonts w:ascii="Arial" w:hAnsi="Arial"/>
          <w:sz w:val="20"/>
        </w:rPr>
        <w:t>-2</w:t>
      </w:r>
      <w:r>
        <w:rPr>
          <w:rFonts w:ascii="Arial" w:hAnsi="Arial"/>
          <w:sz w:val="20"/>
        </w:rPr>
        <w:t>1</w:t>
      </w:r>
    </w:p>
    <w:p w:rsidR="00CA7CB8" w:rsidRPr="004753D8" w:rsidRDefault="00CA7CB8" w:rsidP="00CA7CB8">
      <w:pPr>
        <w:rPr>
          <w:rFonts w:ascii="Arial" w:hAnsi="Arial"/>
          <w:sz w:val="20"/>
          <w:u w:val="single"/>
        </w:rPr>
      </w:pPr>
      <w:r w:rsidRPr="004753D8">
        <w:rPr>
          <w:rFonts w:ascii="Arial" w:hAnsi="Arial"/>
          <w:sz w:val="20"/>
        </w:rPr>
        <w:t>STATE GENERAL FUND</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4753D8" w:rsidRDefault="00CA7CB8" w:rsidP="00CA7CB8">
      <w:pPr>
        <w:rPr>
          <w:rFonts w:ascii="Arial" w:hAnsi="Arial"/>
          <w:sz w:val="20"/>
          <w:u w:val="single"/>
        </w:rPr>
      </w:pPr>
      <w:r w:rsidRPr="004753D8">
        <w:rPr>
          <w:rFonts w:ascii="Arial" w:hAnsi="Arial"/>
          <w:sz w:val="20"/>
        </w:rPr>
        <w:t xml:space="preserve">AGENCY SELF-GENERATED </w:t>
      </w:r>
      <w:r>
        <w:rPr>
          <w:rFonts w:ascii="Arial" w:hAnsi="Arial"/>
          <w:sz w:val="20"/>
        </w:rPr>
        <w:tab/>
      </w:r>
      <w:r>
        <w:rPr>
          <w:rFonts w:ascii="Arial" w:hAnsi="Arial"/>
          <w:sz w:val="20"/>
        </w:rPr>
        <w:tab/>
      </w:r>
      <w:r>
        <w:rPr>
          <w:rFonts w:ascii="Arial" w:hAnsi="Arial"/>
          <w:sz w:val="20"/>
        </w:rPr>
        <w:tab/>
        <w:t xml:space="preserve">   (980)</w:t>
      </w:r>
      <w:r>
        <w:rPr>
          <w:rFonts w:ascii="Arial" w:hAnsi="Arial"/>
          <w:sz w:val="20"/>
        </w:rPr>
        <w:tab/>
      </w:r>
      <w:r>
        <w:rPr>
          <w:rFonts w:ascii="Arial" w:hAnsi="Arial"/>
          <w:sz w:val="20"/>
        </w:rPr>
        <w:tab/>
      </w:r>
      <w:r>
        <w:rPr>
          <w:rFonts w:ascii="Arial" w:hAnsi="Arial"/>
          <w:sz w:val="20"/>
        </w:rPr>
        <w:tab/>
        <w:t xml:space="preserve">           (980)</w:t>
      </w:r>
      <w:r>
        <w:rPr>
          <w:rFonts w:ascii="Arial" w:hAnsi="Arial"/>
          <w:sz w:val="20"/>
        </w:rPr>
        <w:tab/>
      </w:r>
      <w:r>
        <w:rPr>
          <w:rFonts w:ascii="Arial" w:hAnsi="Arial"/>
          <w:sz w:val="20"/>
        </w:rPr>
        <w:tab/>
      </w:r>
      <w:r>
        <w:rPr>
          <w:rFonts w:ascii="Arial" w:hAnsi="Arial"/>
          <w:sz w:val="20"/>
        </w:rPr>
        <w:tab/>
        <w:t xml:space="preserve">          (980)</w:t>
      </w:r>
    </w:p>
    <w:p w:rsidR="00CA7CB8" w:rsidRPr="004753D8" w:rsidRDefault="00CA7CB8" w:rsidP="00CA7CB8">
      <w:pPr>
        <w:rPr>
          <w:rFonts w:ascii="Arial" w:hAnsi="Arial"/>
          <w:sz w:val="20"/>
          <w:u w:val="single"/>
        </w:rPr>
      </w:pPr>
      <w:r w:rsidRPr="004753D8">
        <w:rPr>
          <w:rFonts w:ascii="Arial" w:hAnsi="Arial"/>
          <w:sz w:val="20"/>
        </w:rPr>
        <w:t>DEDICATED</w:t>
      </w:r>
      <w:r>
        <w:rPr>
          <w:rFonts w:ascii="Arial" w:hAnsi="Arial"/>
          <w:sz w:val="20"/>
        </w:rPr>
        <w:tab/>
      </w:r>
      <w:r>
        <w:rPr>
          <w:rFonts w:ascii="Arial" w:hAnsi="Arial"/>
          <w:sz w:val="20"/>
        </w:rPr>
        <w:tab/>
      </w:r>
      <w:r>
        <w:rPr>
          <w:rFonts w:ascii="Arial" w:hAnsi="Arial"/>
          <w:sz w:val="20"/>
        </w:rPr>
        <w:tab/>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4753D8" w:rsidRDefault="00CA7CB8" w:rsidP="00CA7CB8">
      <w:pPr>
        <w:rPr>
          <w:rFonts w:ascii="Arial" w:hAnsi="Arial"/>
          <w:sz w:val="20"/>
          <w:u w:val="single"/>
        </w:rPr>
      </w:pPr>
      <w:r w:rsidRPr="004753D8">
        <w:rPr>
          <w:rFonts w:ascii="Arial" w:hAnsi="Arial"/>
          <w:sz w:val="20"/>
        </w:rPr>
        <w:t>FEDERAL FUNDS</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2F31A2" w:rsidRDefault="00CA7CB8" w:rsidP="00CA7CB8">
      <w:pPr>
        <w:pBdr>
          <w:bottom w:val="single" w:sz="4" w:space="1" w:color="auto"/>
        </w:pBdr>
        <w:rPr>
          <w:rFonts w:ascii="Arial" w:hAnsi="Arial"/>
          <w:sz w:val="20"/>
        </w:rPr>
      </w:pPr>
      <w:r w:rsidRPr="002F31A2">
        <w:rPr>
          <w:rFonts w:ascii="Arial" w:hAnsi="Arial"/>
          <w:sz w:val="20"/>
        </w:rPr>
        <w:t>OTHER</w:t>
      </w:r>
      <w:r>
        <w:rPr>
          <w:rFonts w:ascii="Arial" w:hAnsi="Arial"/>
          <w:sz w:val="20"/>
        </w:rPr>
        <w:t xml:space="preserve"> (Please specify)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2F31A2" w:rsidRDefault="00CA7CB8" w:rsidP="00CA7CB8">
      <w:pPr>
        <w:rPr>
          <w:rFonts w:ascii="Arial" w:hAnsi="Arial"/>
          <w:sz w:val="20"/>
        </w:rPr>
      </w:pPr>
      <w:r w:rsidRPr="002F31A2">
        <w:rPr>
          <w:rFonts w:ascii="Arial" w:hAnsi="Arial"/>
          <w:sz w:val="20"/>
        </w:rPr>
        <w:t>TOTAL</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(980)</w:t>
      </w:r>
      <w:r>
        <w:rPr>
          <w:rFonts w:ascii="Arial" w:hAnsi="Arial"/>
          <w:sz w:val="20"/>
        </w:rPr>
        <w:tab/>
      </w:r>
      <w:r>
        <w:rPr>
          <w:rFonts w:ascii="Arial" w:hAnsi="Arial"/>
          <w:sz w:val="20"/>
        </w:rPr>
        <w:tab/>
      </w:r>
      <w:r>
        <w:rPr>
          <w:rFonts w:ascii="Arial" w:hAnsi="Arial"/>
          <w:sz w:val="20"/>
        </w:rPr>
        <w:tab/>
      </w:r>
      <w:r>
        <w:rPr>
          <w:rFonts w:ascii="Arial" w:hAnsi="Arial"/>
          <w:sz w:val="20"/>
        </w:rPr>
        <w:tab/>
        <w:t xml:space="preserve">    (980)</w:t>
      </w:r>
      <w:r>
        <w:rPr>
          <w:rFonts w:ascii="Arial" w:hAnsi="Arial"/>
          <w:sz w:val="20"/>
        </w:rPr>
        <w:tab/>
      </w:r>
      <w:r>
        <w:rPr>
          <w:rFonts w:ascii="Arial" w:hAnsi="Arial"/>
          <w:sz w:val="20"/>
        </w:rPr>
        <w:tab/>
      </w:r>
      <w:r>
        <w:rPr>
          <w:rFonts w:ascii="Arial" w:hAnsi="Arial"/>
          <w:sz w:val="20"/>
        </w:rPr>
        <w:tab/>
      </w:r>
      <w:r>
        <w:rPr>
          <w:rFonts w:ascii="Arial" w:hAnsi="Arial"/>
          <w:sz w:val="20"/>
        </w:rPr>
        <w:tab/>
        <w:t xml:space="preserve">    (980)</w:t>
      </w:r>
    </w:p>
    <w:p w:rsidR="00CA7CB8" w:rsidRPr="004753D8" w:rsidRDefault="00CA7CB8" w:rsidP="00CA7CB8">
      <w:pPr>
        <w:rPr>
          <w:rFonts w:ascii="Arial" w:hAnsi="Arial"/>
          <w:sz w:val="20"/>
        </w:rPr>
      </w:pPr>
    </w:p>
    <w:p w:rsidR="00CA7CB8" w:rsidRPr="004753D8" w:rsidRDefault="00CA7CB8" w:rsidP="00CA7CB8">
      <w:pPr>
        <w:tabs>
          <w:tab w:val="left" w:pos="-1440"/>
        </w:tabs>
        <w:ind w:left="720"/>
        <w:rPr>
          <w:rFonts w:ascii="Arial" w:hAnsi="Arial"/>
          <w:sz w:val="20"/>
        </w:rPr>
      </w:pPr>
      <w:r w:rsidRPr="004753D8">
        <w:rPr>
          <w:rFonts w:ascii="Arial" w:hAnsi="Arial"/>
          <w:sz w:val="20"/>
        </w:rPr>
        <w:t>4.</w:t>
      </w:r>
      <w:r w:rsidRPr="004753D8">
        <w:rPr>
          <w:rFonts w:ascii="Arial" w:hAnsi="Arial"/>
          <w:sz w:val="20"/>
        </w:rPr>
        <w:tab/>
        <w:t>Does your agency currently have sufficient funds to implement the proposed action?  If not, how and when do you anticipate obtaining such funds?</w:t>
      </w:r>
    </w:p>
    <w:p w:rsidR="00CA7CB8" w:rsidRPr="004753D8" w:rsidRDefault="00CA7CB8" w:rsidP="00CA7CB8">
      <w:pPr>
        <w:rPr>
          <w:rFonts w:ascii="Arial" w:hAnsi="Arial"/>
          <w:sz w:val="20"/>
        </w:rPr>
      </w:pPr>
    </w:p>
    <w:p w:rsidR="00CA7CB8" w:rsidRDefault="00CA7CB8" w:rsidP="00CA7CB8">
      <w:pPr>
        <w:ind w:left="360" w:firstLine="360"/>
        <w:rPr>
          <w:rFonts w:ascii="Arial" w:hAnsi="Arial"/>
          <w:sz w:val="20"/>
        </w:rPr>
      </w:pPr>
      <w:r>
        <w:rPr>
          <w:rFonts w:ascii="Arial" w:hAnsi="Arial"/>
          <w:sz w:val="20"/>
        </w:rPr>
        <w:t>Yes, the agency currently has sufficient funds to implement the proposed action.</w:t>
      </w:r>
    </w:p>
    <w:p w:rsidR="00CA7CB8" w:rsidRDefault="00CA7CB8" w:rsidP="00CA7CB8">
      <w:pPr>
        <w:ind w:firstLine="1440"/>
        <w:rPr>
          <w:rFonts w:ascii="Arial" w:hAnsi="Arial"/>
          <w:sz w:val="20"/>
        </w:rPr>
      </w:pPr>
    </w:p>
    <w:p w:rsidR="00CA7CB8" w:rsidRPr="004753D8" w:rsidRDefault="00CA7CB8" w:rsidP="00CA7CB8">
      <w:pPr>
        <w:rPr>
          <w:rFonts w:ascii="Arial" w:hAnsi="Arial"/>
          <w:sz w:val="20"/>
        </w:rPr>
      </w:pPr>
    </w:p>
    <w:p w:rsidR="00CA7CB8" w:rsidRPr="004753D8" w:rsidRDefault="00CA7CB8" w:rsidP="00CA7CB8">
      <w:pPr>
        <w:tabs>
          <w:tab w:val="left" w:pos="-1440"/>
        </w:tabs>
        <w:ind w:left="720" w:hanging="720"/>
        <w:rPr>
          <w:rFonts w:ascii="Arial" w:hAnsi="Arial"/>
          <w:sz w:val="20"/>
        </w:rPr>
      </w:pPr>
      <w:r>
        <w:rPr>
          <w:rFonts w:ascii="Arial" w:hAnsi="Arial"/>
          <w:sz w:val="20"/>
        </w:rPr>
        <w:tab/>
      </w:r>
      <w:r w:rsidRPr="004753D8">
        <w:rPr>
          <w:rFonts w:ascii="Arial" w:hAnsi="Arial"/>
          <w:sz w:val="20"/>
        </w:rPr>
        <w:t>B.</w:t>
      </w:r>
      <w:r w:rsidRPr="004753D8">
        <w:rPr>
          <w:rFonts w:ascii="Arial" w:hAnsi="Arial"/>
          <w:sz w:val="20"/>
        </w:rPr>
        <w:tab/>
      </w:r>
      <w:r w:rsidRPr="004753D8">
        <w:rPr>
          <w:rFonts w:ascii="Arial" w:hAnsi="Arial"/>
          <w:sz w:val="20"/>
          <w:u w:val="single"/>
        </w:rPr>
        <w:t>COST OR SAVINGS TO LOCAL GOVERNMENTAL UNITS RESULTING FROM THE ACTION PROPOSED.</w:t>
      </w:r>
    </w:p>
    <w:p w:rsidR="00CA7CB8" w:rsidRPr="004753D8" w:rsidRDefault="00CA7CB8" w:rsidP="00CA7CB8">
      <w:pPr>
        <w:rPr>
          <w:rFonts w:ascii="Arial" w:hAnsi="Arial"/>
          <w:sz w:val="20"/>
        </w:rPr>
      </w:pPr>
    </w:p>
    <w:p w:rsidR="00CA7CB8" w:rsidRPr="004753D8" w:rsidRDefault="00CA7CB8" w:rsidP="00CA7CB8">
      <w:pPr>
        <w:tabs>
          <w:tab w:val="left" w:pos="-1440"/>
        </w:tabs>
        <w:ind w:left="720"/>
        <w:rPr>
          <w:rFonts w:ascii="Arial" w:hAnsi="Arial"/>
          <w:sz w:val="20"/>
        </w:rPr>
      </w:pPr>
      <w:r w:rsidRPr="004753D8">
        <w:rPr>
          <w:rFonts w:ascii="Arial" w:hAnsi="Arial"/>
          <w:sz w:val="20"/>
        </w:rPr>
        <w:t>1.</w:t>
      </w:r>
      <w:r w:rsidRPr="004753D8">
        <w:rPr>
          <w:rFonts w:ascii="Arial" w:hAnsi="Arial"/>
          <w:sz w:val="20"/>
        </w:rPr>
        <w:tab/>
        <w:t>Provide an estimate of the anticipated impact of the proposed action on local governmental units, including adjustments in workload and paperwork requirements.  Describe all data, assumptions and methods used in calculating this impact.</w:t>
      </w:r>
    </w:p>
    <w:p w:rsidR="00CA7CB8" w:rsidRPr="004753D8" w:rsidRDefault="00CA7CB8" w:rsidP="00CA7CB8">
      <w:pPr>
        <w:ind w:firstLine="1440"/>
        <w:rPr>
          <w:rFonts w:ascii="Arial" w:hAnsi="Arial"/>
          <w:sz w:val="20"/>
        </w:rPr>
      </w:pPr>
    </w:p>
    <w:p w:rsidR="00CA7CB8" w:rsidRPr="000342D4" w:rsidRDefault="00CA7CB8" w:rsidP="00CA7CB8">
      <w:pPr>
        <w:pStyle w:val="BodyTextIndent3"/>
        <w:tabs>
          <w:tab w:val="clear" w:pos="2160"/>
          <w:tab w:val="num" w:pos="1080"/>
        </w:tabs>
        <w:ind w:left="1080" w:hanging="360"/>
        <w:rPr>
          <w:sz w:val="20"/>
          <w:szCs w:val="20"/>
        </w:rPr>
      </w:pPr>
      <w:r w:rsidRPr="000342D4">
        <w:rPr>
          <w:sz w:val="20"/>
          <w:szCs w:val="20"/>
        </w:rPr>
        <w:t>No impact on local governmental units is anticipated.</w:t>
      </w:r>
    </w:p>
    <w:p w:rsidR="00CA7CB8" w:rsidRPr="004753D8" w:rsidRDefault="00CA7CB8" w:rsidP="00CA7CB8">
      <w:pPr>
        <w:rPr>
          <w:rFonts w:ascii="Arial" w:hAnsi="Arial"/>
          <w:sz w:val="20"/>
        </w:rPr>
      </w:pPr>
    </w:p>
    <w:p w:rsidR="00CA7CB8" w:rsidRDefault="00CA7CB8" w:rsidP="00CA7CB8">
      <w:pPr>
        <w:tabs>
          <w:tab w:val="left" w:pos="-1440"/>
        </w:tabs>
        <w:ind w:left="720"/>
        <w:rPr>
          <w:rFonts w:ascii="Arial" w:hAnsi="Arial"/>
          <w:sz w:val="20"/>
        </w:rPr>
      </w:pPr>
      <w:r w:rsidRPr="004753D8">
        <w:rPr>
          <w:rFonts w:ascii="Arial" w:hAnsi="Arial"/>
          <w:sz w:val="20"/>
        </w:rPr>
        <w:t>2.</w:t>
      </w:r>
      <w:r w:rsidRPr="004753D8">
        <w:rPr>
          <w:rFonts w:ascii="Arial" w:hAnsi="Arial"/>
          <w:sz w:val="20"/>
        </w:rPr>
        <w:tab/>
        <w:t>Indicate the sources of funding of the local governmental unit which will be affected by these costs or savings.</w:t>
      </w:r>
    </w:p>
    <w:p w:rsidR="00CA7CB8" w:rsidRDefault="00CA7CB8" w:rsidP="00CA7CB8">
      <w:pPr>
        <w:tabs>
          <w:tab w:val="num" w:pos="720"/>
        </w:tabs>
        <w:ind w:left="720" w:hanging="360"/>
        <w:rPr>
          <w:rFonts w:ascii="Arial" w:hAnsi="Arial"/>
          <w:sz w:val="20"/>
        </w:rPr>
      </w:pPr>
    </w:p>
    <w:p w:rsidR="00CA7CB8" w:rsidRPr="000342D4" w:rsidRDefault="00CA7CB8" w:rsidP="00CA7CB8">
      <w:pPr>
        <w:tabs>
          <w:tab w:val="num" w:pos="720"/>
        </w:tabs>
        <w:ind w:left="720" w:hanging="360"/>
        <w:rPr>
          <w:rFonts w:ascii="Arial" w:hAnsi="Arial"/>
          <w:sz w:val="20"/>
        </w:rPr>
      </w:pPr>
      <w:r>
        <w:rPr>
          <w:rFonts w:ascii="Arial" w:hAnsi="Arial"/>
          <w:sz w:val="20"/>
        </w:rPr>
        <w:tab/>
      </w:r>
      <w:r w:rsidRPr="000342D4">
        <w:rPr>
          <w:rFonts w:ascii="Arial" w:hAnsi="Arial"/>
          <w:sz w:val="20"/>
        </w:rPr>
        <w:t xml:space="preserve">There </w:t>
      </w:r>
      <w:r>
        <w:rPr>
          <w:rFonts w:ascii="Arial" w:hAnsi="Arial"/>
          <w:sz w:val="20"/>
        </w:rPr>
        <w:t>will be</w:t>
      </w:r>
      <w:r w:rsidRPr="000342D4">
        <w:rPr>
          <w:rFonts w:ascii="Arial" w:hAnsi="Arial"/>
          <w:sz w:val="20"/>
        </w:rPr>
        <w:t xml:space="preserve"> no costs or savings to local governmental units</w:t>
      </w:r>
      <w:r>
        <w:rPr>
          <w:rFonts w:ascii="Arial" w:hAnsi="Arial"/>
          <w:sz w:val="20"/>
        </w:rPr>
        <w:t>,</w:t>
      </w:r>
      <w:r w:rsidRPr="000342D4">
        <w:rPr>
          <w:rFonts w:ascii="Arial" w:hAnsi="Arial"/>
          <w:sz w:val="20"/>
        </w:rPr>
        <w:t xml:space="preserve"> </w:t>
      </w:r>
      <w:r>
        <w:rPr>
          <w:rFonts w:ascii="Arial" w:hAnsi="Arial"/>
          <w:sz w:val="20"/>
        </w:rPr>
        <w:t xml:space="preserve">so </w:t>
      </w:r>
      <w:r w:rsidRPr="000342D4">
        <w:rPr>
          <w:rFonts w:ascii="Arial" w:hAnsi="Arial"/>
          <w:sz w:val="20"/>
        </w:rPr>
        <w:t xml:space="preserve">no funding </w:t>
      </w:r>
      <w:r>
        <w:rPr>
          <w:rFonts w:ascii="Arial" w:hAnsi="Arial"/>
          <w:sz w:val="20"/>
        </w:rPr>
        <w:t>sources will be affected</w:t>
      </w:r>
      <w:r w:rsidRPr="000342D4">
        <w:rPr>
          <w:rFonts w:ascii="Arial" w:hAnsi="Arial"/>
          <w:sz w:val="20"/>
        </w:rPr>
        <w:t>.</w:t>
      </w:r>
    </w:p>
    <w:p w:rsidR="00CA7CB8" w:rsidRPr="004753D8" w:rsidRDefault="00CA7CB8" w:rsidP="00CA7CB8">
      <w:pPr>
        <w:tabs>
          <w:tab w:val="center" w:pos="5276"/>
        </w:tabs>
        <w:jc w:val="center"/>
        <w:rPr>
          <w:rFonts w:ascii="Arial" w:hAnsi="Arial"/>
          <w:sz w:val="20"/>
        </w:rPr>
      </w:pPr>
      <w:r>
        <w:rPr>
          <w:rFonts w:ascii="Arial" w:hAnsi="Arial"/>
          <w:sz w:val="20"/>
        </w:rPr>
        <w:br w:type="page"/>
      </w:r>
      <w:r w:rsidRPr="004753D8">
        <w:rPr>
          <w:rFonts w:ascii="Arial" w:hAnsi="Arial"/>
          <w:sz w:val="20"/>
        </w:rPr>
        <w:lastRenderedPageBreak/>
        <w:t>FISCAL AND ECONOMIC IMPACT STATEMENT</w:t>
      </w:r>
    </w:p>
    <w:p w:rsidR="00CA7CB8" w:rsidRPr="004753D8" w:rsidRDefault="00CA7CB8" w:rsidP="00CA7CB8">
      <w:pPr>
        <w:jc w:val="center"/>
        <w:rPr>
          <w:rFonts w:ascii="Arial" w:hAnsi="Arial"/>
          <w:sz w:val="20"/>
        </w:rPr>
      </w:pPr>
    </w:p>
    <w:p w:rsidR="00CA7CB8" w:rsidRPr="004753D8" w:rsidRDefault="00CA7CB8" w:rsidP="00CA7CB8">
      <w:pPr>
        <w:tabs>
          <w:tab w:val="center" w:pos="5276"/>
        </w:tabs>
        <w:jc w:val="center"/>
        <w:rPr>
          <w:rFonts w:ascii="Arial" w:hAnsi="Arial"/>
          <w:sz w:val="20"/>
        </w:rPr>
      </w:pPr>
      <w:r w:rsidRPr="004753D8">
        <w:rPr>
          <w:rFonts w:ascii="Arial" w:hAnsi="Arial"/>
          <w:sz w:val="20"/>
        </w:rPr>
        <w:t>WORKSHEET</w:t>
      </w:r>
    </w:p>
    <w:p w:rsidR="00CA7CB8" w:rsidRPr="004753D8" w:rsidRDefault="00CA7CB8" w:rsidP="00CA7CB8">
      <w:pPr>
        <w:rPr>
          <w:rFonts w:ascii="Arial" w:hAnsi="Arial"/>
          <w:sz w:val="20"/>
        </w:rPr>
      </w:pPr>
    </w:p>
    <w:p w:rsidR="00CA7CB8" w:rsidRPr="004753D8" w:rsidRDefault="00CA7CB8" w:rsidP="00CA7CB8">
      <w:pPr>
        <w:rPr>
          <w:rFonts w:ascii="Arial" w:hAnsi="Arial"/>
          <w:sz w:val="20"/>
        </w:rPr>
      </w:pPr>
    </w:p>
    <w:p w:rsidR="00CA7CB8" w:rsidRPr="004753D8" w:rsidRDefault="00CA7CB8" w:rsidP="00CA7CB8">
      <w:pPr>
        <w:tabs>
          <w:tab w:val="left" w:pos="-1440"/>
        </w:tabs>
        <w:ind w:left="720" w:hanging="720"/>
        <w:rPr>
          <w:rFonts w:ascii="Arial" w:hAnsi="Arial"/>
          <w:sz w:val="20"/>
        </w:rPr>
      </w:pPr>
      <w:r w:rsidRPr="004753D8">
        <w:rPr>
          <w:rFonts w:ascii="Arial" w:hAnsi="Arial"/>
          <w:sz w:val="20"/>
        </w:rPr>
        <w:t>II.</w:t>
      </w:r>
      <w:r w:rsidRPr="004753D8">
        <w:rPr>
          <w:rFonts w:ascii="Arial" w:hAnsi="Arial"/>
          <w:sz w:val="20"/>
        </w:rPr>
        <w:tab/>
      </w:r>
      <w:r w:rsidRPr="004753D8">
        <w:rPr>
          <w:rFonts w:ascii="Arial" w:hAnsi="Arial"/>
          <w:sz w:val="20"/>
          <w:u w:val="single"/>
        </w:rPr>
        <w:t>EFFECT ON REVENUE COLLECTIONS OF STATE AND LOCAL GOVERNMENTAL UNITS</w:t>
      </w:r>
    </w:p>
    <w:p w:rsidR="00CA7CB8" w:rsidRPr="004753D8" w:rsidRDefault="00CA7CB8" w:rsidP="00CA7CB8">
      <w:pPr>
        <w:rPr>
          <w:rFonts w:ascii="Arial" w:hAnsi="Arial"/>
          <w:sz w:val="20"/>
        </w:rPr>
      </w:pPr>
    </w:p>
    <w:p w:rsidR="00CA7CB8" w:rsidRPr="004753D8" w:rsidRDefault="00CA7CB8" w:rsidP="00CA7CB8">
      <w:pPr>
        <w:tabs>
          <w:tab w:val="left" w:pos="-1440"/>
        </w:tabs>
        <w:ind w:left="720" w:hanging="360"/>
        <w:rPr>
          <w:rFonts w:ascii="Arial" w:hAnsi="Arial"/>
          <w:sz w:val="20"/>
        </w:rPr>
      </w:pPr>
      <w:r w:rsidRPr="004753D8">
        <w:rPr>
          <w:rFonts w:ascii="Arial" w:hAnsi="Arial"/>
          <w:sz w:val="20"/>
        </w:rPr>
        <w:t>A.</w:t>
      </w:r>
      <w:r w:rsidRPr="004753D8">
        <w:rPr>
          <w:rFonts w:ascii="Arial" w:hAnsi="Arial"/>
          <w:sz w:val="20"/>
        </w:rPr>
        <w:tab/>
        <w:t>What increase (decrease) in revenues can be anticipated from the proposed action?</w:t>
      </w:r>
    </w:p>
    <w:p w:rsidR="00CA7CB8" w:rsidRPr="004753D8" w:rsidRDefault="00CA7CB8" w:rsidP="00CA7CB8">
      <w:pPr>
        <w:rPr>
          <w:rFonts w:ascii="Arial" w:hAnsi="Arial"/>
          <w:sz w:val="20"/>
        </w:rPr>
      </w:pPr>
      <w:r>
        <w:rPr>
          <w:rFonts w:ascii="Arial" w:hAnsi="Arial"/>
          <w:sz w:val="20"/>
        </w:rPr>
        <w:tab/>
      </w:r>
    </w:p>
    <w:p w:rsidR="00CA7CB8" w:rsidRPr="00F21DD3" w:rsidRDefault="00CA7CB8" w:rsidP="00CA7CB8">
      <w:pPr>
        <w:pBdr>
          <w:top w:val="single" w:sz="4" w:space="1" w:color="auto"/>
          <w:bottom w:val="single" w:sz="4" w:space="1" w:color="auto"/>
        </w:pBdr>
        <w:tabs>
          <w:tab w:val="left" w:pos="-1440"/>
        </w:tabs>
        <w:rPr>
          <w:rFonts w:ascii="Arial" w:hAnsi="Arial"/>
          <w:sz w:val="20"/>
        </w:rPr>
      </w:pPr>
      <w:r w:rsidRPr="00F21DD3">
        <w:rPr>
          <w:rFonts w:ascii="Arial" w:hAnsi="Arial"/>
          <w:sz w:val="20"/>
        </w:rPr>
        <w:t>REVENUE INCREASE/DECREASE</w:t>
      </w:r>
      <w:r w:rsidRPr="00F21DD3">
        <w:rPr>
          <w:rFonts w:ascii="Arial" w:hAnsi="Arial"/>
          <w:sz w:val="20"/>
        </w:rPr>
        <w:tab/>
      </w:r>
      <w:r w:rsidRPr="00F21DD3">
        <w:rPr>
          <w:rFonts w:ascii="Arial" w:hAnsi="Arial"/>
          <w:sz w:val="20"/>
        </w:rPr>
        <w:tab/>
      </w:r>
      <w:r w:rsidRPr="00F21DD3">
        <w:rPr>
          <w:rFonts w:ascii="Arial" w:hAnsi="Arial"/>
          <w:sz w:val="20"/>
        </w:rPr>
        <w:tab/>
        <w:t>FY1</w:t>
      </w:r>
      <w:r>
        <w:rPr>
          <w:rFonts w:ascii="Arial" w:hAnsi="Arial"/>
          <w:sz w:val="20"/>
        </w:rPr>
        <w:t>8</w:t>
      </w:r>
      <w:r w:rsidRPr="00F21DD3">
        <w:rPr>
          <w:rFonts w:ascii="Arial" w:hAnsi="Arial"/>
          <w:sz w:val="20"/>
        </w:rPr>
        <w:t>-1</w:t>
      </w:r>
      <w:r>
        <w:rPr>
          <w:rFonts w:ascii="Arial" w:hAnsi="Arial"/>
          <w:sz w:val="20"/>
        </w:rPr>
        <w:t>9</w:t>
      </w:r>
      <w:r w:rsidRPr="00F21DD3">
        <w:rPr>
          <w:rFonts w:ascii="Arial" w:hAnsi="Arial"/>
          <w:sz w:val="20"/>
        </w:rPr>
        <w:tab/>
      </w:r>
      <w:r w:rsidRPr="00F21DD3">
        <w:rPr>
          <w:rFonts w:ascii="Arial" w:hAnsi="Arial"/>
          <w:sz w:val="20"/>
        </w:rPr>
        <w:tab/>
      </w:r>
      <w:r w:rsidRPr="00F21DD3">
        <w:rPr>
          <w:rFonts w:ascii="Arial" w:hAnsi="Arial"/>
          <w:sz w:val="20"/>
        </w:rPr>
        <w:tab/>
        <w:t>FY1</w:t>
      </w:r>
      <w:r>
        <w:rPr>
          <w:rFonts w:ascii="Arial" w:hAnsi="Arial"/>
          <w:sz w:val="20"/>
        </w:rPr>
        <w:t>9</w:t>
      </w:r>
      <w:r w:rsidRPr="00F21DD3">
        <w:rPr>
          <w:rFonts w:ascii="Arial" w:hAnsi="Arial"/>
          <w:sz w:val="20"/>
        </w:rPr>
        <w:t>-</w:t>
      </w:r>
      <w:r>
        <w:rPr>
          <w:rFonts w:ascii="Arial" w:hAnsi="Arial"/>
          <w:sz w:val="20"/>
        </w:rPr>
        <w:t>20</w:t>
      </w:r>
      <w:r w:rsidRPr="00F21DD3">
        <w:rPr>
          <w:rFonts w:ascii="Arial" w:hAnsi="Arial"/>
          <w:sz w:val="20"/>
        </w:rPr>
        <w:tab/>
      </w:r>
      <w:r w:rsidRPr="00F21DD3">
        <w:rPr>
          <w:rFonts w:ascii="Arial" w:hAnsi="Arial"/>
          <w:sz w:val="20"/>
        </w:rPr>
        <w:tab/>
      </w:r>
      <w:r w:rsidRPr="00F21DD3">
        <w:rPr>
          <w:rFonts w:ascii="Arial" w:hAnsi="Arial"/>
          <w:sz w:val="20"/>
        </w:rPr>
        <w:tab/>
        <w:t>FY</w:t>
      </w:r>
      <w:r>
        <w:rPr>
          <w:rFonts w:ascii="Arial" w:hAnsi="Arial"/>
          <w:sz w:val="20"/>
        </w:rPr>
        <w:t>20</w:t>
      </w:r>
      <w:r w:rsidRPr="00F21DD3">
        <w:rPr>
          <w:rFonts w:ascii="Arial" w:hAnsi="Arial"/>
          <w:sz w:val="20"/>
        </w:rPr>
        <w:t>-</w:t>
      </w:r>
      <w:r>
        <w:rPr>
          <w:rFonts w:ascii="Arial" w:hAnsi="Arial"/>
          <w:sz w:val="20"/>
        </w:rPr>
        <w:t>21</w:t>
      </w:r>
    </w:p>
    <w:p w:rsidR="00CA7CB8" w:rsidRPr="004753D8" w:rsidRDefault="00CA7CB8" w:rsidP="00CA7CB8">
      <w:pPr>
        <w:rPr>
          <w:rFonts w:ascii="Arial" w:hAnsi="Arial"/>
          <w:sz w:val="20"/>
          <w:u w:val="single"/>
        </w:rPr>
      </w:pPr>
      <w:r w:rsidRPr="004753D8">
        <w:rPr>
          <w:rFonts w:ascii="Arial" w:hAnsi="Arial"/>
          <w:sz w:val="20"/>
        </w:rPr>
        <w:t>STATE GENERAL FUND</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p>
    <w:p w:rsidR="00CA7CB8" w:rsidRPr="004753D8" w:rsidRDefault="00CA7CB8" w:rsidP="00CA7CB8">
      <w:pPr>
        <w:rPr>
          <w:rFonts w:ascii="Arial" w:hAnsi="Arial"/>
          <w:sz w:val="20"/>
          <w:u w:val="single"/>
        </w:rPr>
      </w:pPr>
      <w:r w:rsidRPr="004753D8">
        <w:rPr>
          <w:rFonts w:ascii="Arial" w:hAnsi="Arial"/>
          <w:sz w:val="20"/>
        </w:rPr>
        <w:t>AGENCY SELF-GENERATED</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Default="00CA7CB8" w:rsidP="00CA7CB8">
      <w:pPr>
        <w:tabs>
          <w:tab w:val="left" w:pos="-1440"/>
        </w:tabs>
        <w:rPr>
          <w:rFonts w:ascii="Arial" w:hAnsi="Arial"/>
          <w:sz w:val="20"/>
        </w:rPr>
      </w:pPr>
      <w:r w:rsidRPr="004753D8">
        <w:rPr>
          <w:rFonts w:ascii="Arial" w:hAnsi="Arial"/>
          <w:sz w:val="20"/>
        </w:rPr>
        <w:t>RESTRICTED FUNDS*</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t>-0-</w:t>
      </w:r>
      <w:r>
        <w:rPr>
          <w:rFonts w:ascii="Arial" w:hAnsi="Arial"/>
          <w:sz w:val="20"/>
        </w:rPr>
        <w:tab/>
      </w:r>
    </w:p>
    <w:p w:rsidR="00CA7CB8" w:rsidRPr="004753D8" w:rsidRDefault="00CA7CB8" w:rsidP="00CA7CB8">
      <w:pPr>
        <w:tabs>
          <w:tab w:val="left" w:pos="-1440"/>
        </w:tabs>
        <w:rPr>
          <w:rFonts w:ascii="Arial" w:hAnsi="Arial"/>
          <w:sz w:val="20"/>
          <w:u w:val="single"/>
        </w:rPr>
      </w:pPr>
      <w:r w:rsidRPr="004753D8">
        <w:rPr>
          <w:rFonts w:ascii="Arial" w:hAnsi="Arial"/>
          <w:sz w:val="20"/>
        </w:rPr>
        <w:t>FEDERAL FUNDS</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F21DD3" w:rsidRDefault="00CA7CB8" w:rsidP="00CA7CB8">
      <w:pPr>
        <w:pBdr>
          <w:bottom w:val="single" w:sz="4" w:space="1" w:color="auto"/>
        </w:pBdr>
        <w:rPr>
          <w:rFonts w:ascii="Arial" w:hAnsi="Arial"/>
          <w:sz w:val="20"/>
        </w:rPr>
      </w:pPr>
      <w:r w:rsidRPr="00F21DD3">
        <w:rPr>
          <w:rFonts w:ascii="Arial" w:hAnsi="Arial"/>
          <w:sz w:val="20"/>
        </w:rPr>
        <w:t>LOCAL FUNDS</w:t>
      </w:r>
      <w:r w:rsidRPr="00F21DD3">
        <w:rPr>
          <w:rFonts w:ascii="Arial" w:hAnsi="Arial"/>
          <w:sz w:val="20"/>
        </w:rPr>
        <w:tab/>
      </w:r>
      <w:r w:rsidRPr="00F21DD3">
        <w:rPr>
          <w:rFonts w:ascii="Arial" w:hAnsi="Arial"/>
          <w:sz w:val="20"/>
        </w:rPr>
        <w:tab/>
      </w:r>
      <w:r w:rsidRPr="00F21DD3">
        <w:rPr>
          <w:rFonts w:ascii="Arial" w:hAnsi="Arial"/>
          <w:sz w:val="20"/>
        </w:rPr>
        <w:tab/>
      </w:r>
      <w:r w:rsidRPr="00F21DD3">
        <w:rPr>
          <w:rFonts w:ascii="Arial" w:hAnsi="Arial"/>
          <w:sz w:val="20"/>
        </w:rPr>
        <w:tab/>
      </w:r>
      <w:r w:rsidRPr="00F21DD3">
        <w:rPr>
          <w:rFonts w:ascii="Arial" w:hAnsi="Arial"/>
          <w:sz w:val="20"/>
        </w:rPr>
        <w:tab/>
      </w:r>
      <w:r w:rsidRPr="00F21DD3">
        <w:rPr>
          <w:rFonts w:ascii="Arial" w:hAnsi="Arial"/>
          <w:sz w:val="20"/>
        </w:rPr>
        <w:tab/>
      </w:r>
      <w:r w:rsidRPr="00F21DD3">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CA7CB8" w:rsidRPr="00F21DD3" w:rsidRDefault="00CA7CB8" w:rsidP="00CA7CB8">
      <w:pPr>
        <w:rPr>
          <w:rFonts w:ascii="Arial" w:hAnsi="Arial"/>
          <w:sz w:val="20"/>
        </w:rPr>
      </w:pPr>
      <w:r w:rsidRPr="00F21DD3">
        <w:rPr>
          <w:rFonts w:ascii="Arial" w:hAnsi="Arial"/>
          <w:sz w:val="20"/>
        </w:rPr>
        <w:t>TOTAL</w:t>
      </w:r>
      <w:r w:rsidRPr="00F21DD3">
        <w:rPr>
          <w:rFonts w:ascii="Arial" w:hAnsi="Arial"/>
          <w:sz w:val="20"/>
        </w:rPr>
        <w:tab/>
      </w:r>
    </w:p>
    <w:p w:rsidR="00CA7CB8" w:rsidRPr="004753D8" w:rsidRDefault="00CA7CB8" w:rsidP="00CA7CB8">
      <w:pPr>
        <w:rPr>
          <w:rFonts w:ascii="Arial" w:hAnsi="Arial"/>
          <w:sz w:val="20"/>
        </w:rPr>
      </w:pPr>
      <w:r w:rsidRPr="004753D8">
        <w:rPr>
          <w:rFonts w:ascii="Arial" w:hAnsi="Arial"/>
          <w:sz w:val="20"/>
        </w:rPr>
        <w:t>*Specify the particular fund being impacted.</w:t>
      </w:r>
    </w:p>
    <w:p w:rsidR="00CA7CB8" w:rsidRPr="004753D8" w:rsidRDefault="00CA7CB8" w:rsidP="00CA7CB8">
      <w:pPr>
        <w:rPr>
          <w:rFonts w:ascii="Arial" w:hAnsi="Arial"/>
          <w:sz w:val="20"/>
        </w:rPr>
      </w:pPr>
    </w:p>
    <w:p w:rsidR="00CA7CB8" w:rsidRPr="004753D8" w:rsidRDefault="00CA7CB8" w:rsidP="00CA7CB8">
      <w:pPr>
        <w:tabs>
          <w:tab w:val="left" w:pos="-1440"/>
        </w:tabs>
        <w:ind w:left="720" w:hanging="360"/>
        <w:rPr>
          <w:rFonts w:ascii="Arial" w:hAnsi="Arial"/>
          <w:sz w:val="20"/>
        </w:rPr>
      </w:pPr>
      <w:r w:rsidRPr="004753D8">
        <w:rPr>
          <w:rFonts w:ascii="Arial" w:hAnsi="Arial"/>
          <w:sz w:val="20"/>
        </w:rPr>
        <w:t>B.</w:t>
      </w:r>
      <w:r w:rsidRPr="004753D8">
        <w:rPr>
          <w:rFonts w:ascii="Arial" w:hAnsi="Arial"/>
          <w:sz w:val="20"/>
        </w:rPr>
        <w:tab/>
        <w:t>Provide a narrative explanation of each increase or decrease in revenues shown in "A."  Describe all data, assumptions, and methods used in calculating these increases or decreases.</w:t>
      </w:r>
    </w:p>
    <w:p w:rsidR="00CA7CB8" w:rsidRPr="004753D8" w:rsidRDefault="00CA7CB8" w:rsidP="00CA7CB8">
      <w:pPr>
        <w:tabs>
          <w:tab w:val="center" w:pos="5276"/>
        </w:tabs>
        <w:rPr>
          <w:rFonts w:ascii="Arial" w:hAnsi="Arial"/>
          <w:sz w:val="20"/>
        </w:rPr>
      </w:pPr>
    </w:p>
    <w:p w:rsidR="00CA7CB8" w:rsidRDefault="00CA7CB8" w:rsidP="00CA7CB8">
      <w:pPr>
        <w:tabs>
          <w:tab w:val="left" w:pos="360"/>
          <w:tab w:val="left" w:pos="1100"/>
        </w:tabs>
        <w:ind w:left="720"/>
        <w:rPr>
          <w:rFonts w:ascii="Arial" w:hAnsi="Arial"/>
          <w:sz w:val="20"/>
        </w:rPr>
      </w:pPr>
      <w:r>
        <w:rPr>
          <w:rFonts w:ascii="Arial" w:hAnsi="Arial"/>
          <w:sz w:val="20"/>
        </w:rPr>
        <w:t xml:space="preserve">Revenues will increase based on the fee increases provided in Act No. 421 of the 2016 Regular Legislative Session.  It will impact the Environmental Trust Fund.  </w:t>
      </w:r>
    </w:p>
    <w:p w:rsidR="00CA7CB8" w:rsidRDefault="00CA7CB8" w:rsidP="00CA7CB8">
      <w:pPr>
        <w:tabs>
          <w:tab w:val="left" w:pos="360"/>
          <w:tab w:val="left" w:pos="1100"/>
        </w:tabs>
        <w:ind w:left="720"/>
        <w:rPr>
          <w:rFonts w:ascii="Arial" w:hAnsi="Arial"/>
          <w:sz w:val="20"/>
        </w:rPr>
      </w:pPr>
    </w:p>
    <w:p w:rsidR="00CA7CB8" w:rsidRDefault="00CA7CB8" w:rsidP="00CA7CB8">
      <w:pPr>
        <w:tabs>
          <w:tab w:val="left" w:pos="360"/>
          <w:tab w:val="left" w:pos="1100"/>
        </w:tabs>
        <w:ind w:left="720"/>
        <w:rPr>
          <w:rFonts w:ascii="Arial" w:hAnsi="Arial"/>
          <w:sz w:val="20"/>
        </w:rPr>
      </w:pPr>
      <w:r>
        <w:rPr>
          <w:rFonts w:ascii="Arial" w:hAnsi="Arial"/>
          <w:sz w:val="20"/>
        </w:rPr>
        <w:t xml:space="preserve">These amounts were calculated by the department by taking into account each fee, the number of entities that currently pay the fee, and the increase in what they will pay starting in FY 2019.  </w:t>
      </w:r>
    </w:p>
    <w:p w:rsidR="00CA7CB8" w:rsidRDefault="00CA7CB8" w:rsidP="00CA7CB8">
      <w:pPr>
        <w:ind w:left="1440"/>
        <w:rPr>
          <w:rFonts w:ascii="Arial" w:hAnsi="Arial"/>
          <w:sz w:val="20"/>
        </w:rPr>
      </w:pPr>
    </w:p>
    <w:p w:rsidR="00CA7CB8" w:rsidRPr="004753D8" w:rsidRDefault="00CA7CB8" w:rsidP="00CA7CB8">
      <w:pPr>
        <w:rPr>
          <w:rFonts w:ascii="Arial" w:hAnsi="Arial"/>
          <w:sz w:val="20"/>
        </w:rPr>
      </w:pPr>
    </w:p>
    <w:p w:rsidR="00CA7CB8" w:rsidRPr="004753D8" w:rsidRDefault="00CA7CB8" w:rsidP="00CA7CB8">
      <w:pPr>
        <w:tabs>
          <w:tab w:val="left" w:pos="-1440"/>
        </w:tabs>
        <w:ind w:left="360" w:hanging="360"/>
        <w:rPr>
          <w:rFonts w:ascii="Arial" w:hAnsi="Arial"/>
          <w:sz w:val="20"/>
        </w:rPr>
      </w:pPr>
      <w:r w:rsidRPr="004753D8">
        <w:rPr>
          <w:rFonts w:ascii="Arial" w:hAnsi="Arial"/>
          <w:sz w:val="20"/>
        </w:rPr>
        <w:t>III.</w:t>
      </w:r>
      <w:r w:rsidRPr="004753D8">
        <w:rPr>
          <w:rFonts w:ascii="Arial" w:hAnsi="Arial"/>
          <w:sz w:val="20"/>
        </w:rPr>
        <w:tab/>
      </w:r>
      <w:r w:rsidRPr="004753D8">
        <w:rPr>
          <w:rFonts w:ascii="Arial" w:hAnsi="Arial"/>
          <w:sz w:val="20"/>
          <w:u w:val="single"/>
        </w:rPr>
        <w:t>COSTS AND/OR ECONOMIC BENEFITS TO DIRECTLY AFFECTED PERSONS OR NONGOVERNMENTAL GROUPS</w:t>
      </w:r>
    </w:p>
    <w:p w:rsidR="00CA7CB8" w:rsidRPr="004753D8" w:rsidRDefault="00CA7CB8" w:rsidP="00CA7CB8">
      <w:pPr>
        <w:rPr>
          <w:rFonts w:ascii="Arial" w:hAnsi="Arial"/>
          <w:sz w:val="20"/>
        </w:rPr>
      </w:pPr>
    </w:p>
    <w:p w:rsidR="00CA7CB8" w:rsidRPr="004753D8" w:rsidRDefault="00CA7CB8" w:rsidP="00CA7CB8">
      <w:pPr>
        <w:tabs>
          <w:tab w:val="left" w:pos="-1440"/>
        </w:tabs>
        <w:ind w:left="720" w:hanging="360"/>
        <w:rPr>
          <w:rFonts w:ascii="Arial" w:hAnsi="Arial"/>
          <w:sz w:val="20"/>
        </w:rPr>
      </w:pPr>
      <w:r w:rsidRPr="004753D8">
        <w:rPr>
          <w:rFonts w:ascii="Arial" w:hAnsi="Arial"/>
          <w:sz w:val="20"/>
        </w:rPr>
        <w:t>A.</w:t>
      </w:r>
      <w:r w:rsidRPr="004753D8">
        <w:rPr>
          <w:rFonts w:ascii="Arial" w:hAnsi="Arial"/>
          <w:sz w:val="20"/>
        </w:rPr>
        <w:tab/>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CA7CB8" w:rsidRPr="004753D8" w:rsidRDefault="00CA7CB8" w:rsidP="00CA7CB8">
      <w:pPr>
        <w:rPr>
          <w:rFonts w:ascii="Arial" w:hAnsi="Arial"/>
          <w:sz w:val="20"/>
        </w:rPr>
      </w:pPr>
    </w:p>
    <w:p w:rsidR="00CA7CB8" w:rsidRPr="004753D8" w:rsidRDefault="00CA7CB8" w:rsidP="00CA7CB8">
      <w:pPr>
        <w:ind w:left="720"/>
        <w:rPr>
          <w:rFonts w:ascii="Arial" w:hAnsi="Arial"/>
          <w:sz w:val="20"/>
        </w:rPr>
      </w:pPr>
      <w:r>
        <w:rPr>
          <w:rFonts w:ascii="Arial" w:hAnsi="Arial"/>
          <w:sz w:val="20"/>
        </w:rPr>
        <w:t xml:space="preserve">All non-governmental groups that pay permit or other fees to DEQ will be directly affected by the proposed action, which </w:t>
      </w:r>
      <w:r w:rsidRPr="00C45928">
        <w:rPr>
          <w:rFonts w:ascii="Arial" w:hAnsi="Arial"/>
          <w:sz w:val="20"/>
        </w:rPr>
        <w:t xml:space="preserve">includes industries such as </w:t>
      </w:r>
      <w:r>
        <w:rPr>
          <w:rFonts w:ascii="Arial" w:hAnsi="Arial"/>
          <w:sz w:val="20"/>
        </w:rPr>
        <w:t xml:space="preserve">petrochemical, manufacturing, and construction.  Workload adjustments and/or additional paperwork should not be required, as the billing and invoicing structure has not changed, only the amounts billed.  </w:t>
      </w:r>
    </w:p>
    <w:p w:rsidR="00CA7CB8" w:rsidRDefault="00CA7CB8" w:rsidP="00CA7CB8">
      <w:pPr>
        <w:ind w:left="1440"/>
        <w:rPr>
          <w:rFonts w:ascii="Arial" w:hAnsi="Arial"/>
          <w:sz w:val="20"/>
        </w:rPr>
      </w:pPr>
    </w:p>
    <w:p w:rsidR="00CA7CB8" w:rsidRPr="004753D8" w:rsidRDefault="00CA7CB8" w:rsidP="00CA7CB8">
      <w:pPr>
        <w:ind w:left="1440"/>
        <w:rPr>
          <w:rFonts w:ascii="Arial" w:hAnsi="Arial"/>
          <w:sz w:val="20"/>
        </w:rPr>
      </w:pPr>
    </w:p>
    <w:p w:rsidR="00CA7CB8" w:rsidRPr="004753D8" w:rsidRDefault="00CA7CB8" w:rsidP="00CA7CB8">
      <w:pPr>
        <w:ind w:left="1440"/>
        <w:rPr>
          <w:rFonts w:ascii="Arial" w:hAnsi="Arial"/>
          <w:sz w:val="20"/>
        </w:rPr>
      </w:pPr>
    </w:p>
    <w:p w:rsidR="00CA7CB8" w:rsidRPr="004753D8" w:rsidRDefault="00CA7CB8" w:rsidP="00CA7CB8">
      <w:pPr>
        <w:rPr>
          <w:rFonts w:ascii="Arial" w:hAnsi="Arial"/>
          <w:sz w:val="20"/>
        </w:rPr>
      </w:pPr>
    </w:p>
    <w:p w:rsidR="00CA7CB8" w:rsidRDefault="00CA7CB8" w:rsidP="00CA7CB8">
      <w:pPr>
        <w:tabs>
          <w:tab w:val="left" w:pos="-1440"/>
        </w:tabs>
        <w:ind w:left="720" w:hanging="360"/>
        <w:rPr>
          <w:rFonts w:ascii="Arial" w:hAnsi="Arial"/>
          <w:sz w:val="20"/>
        </w:rPr>
      </w:pPr>
      <w:r w:rsidRPr="004753D8">
        <w:rPr>
          <w:rFonts w:ascii="Arial" w:hAnsi="Arial"/>
          <w:sz w:val="20"/>
        </w:rPr>
        <w:t>B.</w:t>
      </w:r>
      <w:r w:rsidRPr="004753D8">
        <w:rPr>
          <w:rFonts w:ascii="Arial" w:hAnsi="Arial"/>
          <w:sz w:val="20"/>
        </w:rPr>
        <w:tab/>
        <w:t>Also provide an estimate and a narrative description of any impact on receipts and/or income resulting from this rule or rule change to these groups.</w:t>
      </w:r>
    </w:p>
    <w:p w:rsidR="00CA7CB8" w:rsidRDefault="00CA7CB8" w:rsidP="00CA7CB8">
      <w:pPr>
        <w:rPr>
          <w:rFonts w:ascii="Arial" w:hAnsi="Arial"/>
          <w:sz w:val="20"/>
        </w:rPr>
      </w:pPr>
    </w:p>
    <w:p w:rsidR="00CA7CB8" w:rsidRDefault="00CA7CB8" w:rsidP="00CA7CB8">
      <w:pPr>
        <w:rPr>
          <w:rFonts w:ascii="Arial" w:hAnsi="Arial"/>
          <w:sz w:val="20"/>
        </w:rPr>
      </w:pPr>
      <w:r>
        <w:rPr>
          <w:rFonts w:ascii="Arial" w:hAnsi="Arial"/>
          <w:sz w:val="20"/>
        </w:rPr>
        <w:tab/>
      </w:r>
      <w:r>
        <w:rPr>
          <w:rFonts w:ascii="Arial" w:hAnsi="Arial"/>
          <w:sz w:val="20"/>
        </w:rPr>
        <w:tab/>
        <w:t>There should be no change on receipts or income, only changes in costs and/or expenditures.</w:t>
      </w:r>
    </w:p>
    <w:p w:rsidR="00CA7CB8" w:rsidRDefault="00CA7CB8" w:rsidP="00CA7CB8">
      <w:pPr>
        <w:rPr>
          <w:rFonts w:ascii="Arial" w:hAnsi="Arial"/>
          <w:sz w:val="20"/>
        </w:rPr>
      </w:pPr>
    </w:p>
    <w:p w:rsidR="00CA7CB8" w:rsidRPr="004753D8" w:rsidRDefault="00CA7CB8" w:rsidP="00CA7CB8">
      <w:pPr>
        <w:rPr>
          <w:rFonts w:ascii="Arial" w:hAnsi="Arial"/>
          <w:sz w:val="20"/>
        </w:rPr>
      </w:pPr>
    </w:p>
    <w:p w:rsidR="00CA7CB8" w:rsidRPr="004753D8" w:rsidRDefault="00CA7CB8" w:rsidP="00CA7CB8">
      <w:pPr>
        <w:rPr>
          <w:rFonts w:ascii="Arial" w:hAnsi="Arial"/>
          <w:sz w:val="20"/>
        </w:rPr>
      </w:pPr>
    </w:p>
    <w:p w:rsidR="00CA7CB8" w:rsidRPr="004753D8" w:rsidRDefault="00CA7CB8" w:rsidP="00CA7CB8">
      <w:pPr>
        <w:tabs>
          <w:tab w:val="left" w:pos="-1440"/>
        </w:tabs>
        <w:ind w:left="720" w:hanging="720"/>
        <w:rPr>
          <w:rFonts w:ascii="Arial" w:hAnsi="Arial"/>
          <w:sz w:val="20"/>
        </w:rPr>
      </w:pPr>
      <w:r w:rsidRPr="004753D8">
        <w:rPr>
          <w:rFonts w:ascii="Arial" w:hAnsi="Arial"/>
          <w:sz w:val="20"/>
        </w:rPr>
        <w:t>IV.</w:t>
      </w:r>
      <w:r w:rsidRPr="004753D8">
        <w:rPr>
          <w:rFonts w:ascii="Arial" w:hAnsi="Arial"/>
          <w:sz w:val="20"/>
        </w:rPr>
        <w:tab/>
      </w:r>
      <w:r w:rsidRPr="004753D8">
        <w:rPr>
          <w:rFonts w:ascii="Arial" w:hAnsi="Arial"/>
          <w:sz w:val="20"/>
          <w:u w:val="single"/>
        </w:rPr>
        <w:t>EFFECTS ON COMPETITION AND EMPLOYMENT</w:t>
      </w:r>
    </w:p>
    <w:p w:rsidR="00CA7CB8" w:rsidRPr="004753D8" w:rsidRDefault="00CA7CB8" w:rsidP="00CA7CB8">
      <w:pPr>
        <w:rPr>
          <w:rFonts w:ascii="Arial" w:hAnsi="Arial"/>
          <w:sz w:val="20"/>
        </w:rPr>
      </w:pPr>
    </w:p>
    <w:p w:rsidR="00CA7CB8" w:rsidRPr="004753D8" w:rsidRDefault="00CA7CB8" w:rsidP="00CA7CB8">
      <w:pPr>
        <w:ind w:left="360"/>
        <w:rPr>
          <w:rFonts w:ascii="Arial" w:hAnsi="Arial"/>
          <w:sz w:val="20"/>
        </w:rPr>
      </w:pPr>
      <w:r w:rsidRPr="004753D8">
        <w:rPr>
          <w:rFonts w:ascii="Arial" w:hAnsi="Arial"/>
          <w:sz w:val="20"/>
        </w:rPr>
        <w:t xml:space="preserve">Identify and provide estimates of the impact of the proposed action on competition and employment in the public and private sectors.  Include a summary of any data, assumptions and methods used in </w:t>
      </w:r>
      <w:r w:rsidRPr="004753D8">
        <w:rPr>
          <w:rFonts w:ascii="Arial" w:hAnsi="Arial"/>
          <w:sz w:val="20"/>
        </w:rPr>
        <w:lastRenderedPageBreak/>
        <w:t>making these estimates.</w:t>
      </w:r>
    </w:p>
    <w:p w:rsidR="00CA7CB8" w:rsidRPr="004753D8" w:rsidRDefault="00CA7CB8" w:rsidP="00CA7CB8">
      <w:pPr>
        <w:rPr>
          <w:rFonts w:ascii="Arial" w:hAnsi="Arial"/>
          <w:sz w:val="20"/>
        </w:rPr>
      </w:pPr>
    </w:p>
    <w:p w:rsidR="00B55C96" w:rsidRPr="004753D8" w:rsidRDefault="00CA7CB8" w:rsidP="00CA7CB8">
      <w:pPr>
        <w:ind w:left="360"/>
        <w:rPr>
          <w:rFonts w:ascii="Arial" w:hAnsi="Arial"/>
          <w:sz w:val="20"/>
        </w:rPr>
      </w:pPr>
      <w:r>
        <w:rPr>
          <w:rFonts w:ascii="Arial" w:hAnsi="Arial"/>
          <w:sz w:val="20"/>
        </w:rPr>
        <w:t xml:space="preserve">We do not anticipate any impact on competition in the public and private sectors as the fee increases required by </w:t>
      </w:r>
      <w:r w:rsidRPr="00105F32">
        <w:rPr>
          <w:rFonts w:ascii="Arial" w:hAnsi="Arial"/>
          <w:sz w:val="20"/>
        </w:rPr>
        <w:t>the miscellaneous amendments and c</w:t>
      </w:r>
      <w:r>
        <w:rPr>
          <w:rFonts w:ascii="Arial" w:hAnsi="Arial"/>
          <w:sz w:val="20"/>
        </w:rPr>
        <w:t xml:space="preserve">orrections will be negligible.  These fees have been discussed with industry participants who are subject to the increases and we do not anticipate any significant impact on public or private sector employment.  </w:t>
      </w:r>
      <w:r w:rsidR="0091649C">
        <w:rPr>
          <w:rFonts w:ascii="Arial" w:hAnsi="Arial"/>
          <w:sz w:val="20"/>
        </w:rPr>
        <w:t xml:space="preserve">  </w:t>
      </w:r>
    </w:p>
    <w:p w:rsidR="00B55C96" w:rsidRPr="004753D8" w:rsidRDefault="00B55C96">
      <w:pPr>
        <w:rPr>
          <w:rFonts w:ascii="Arial" w:hAnsi="Arial"/>
          <w:sz w:val="20"/>
        </w:rPr>
      </w:pPr>
    </w:p>
    <w:sectPr w:rsidR="00B55C96" w:rsidRPr="004753D8" w:rsidSect="00CA7CB8">
      <w:headerReference w:type="default" r:id="rId8"/>
      <w:endnotePr>
        <w:numFmt w:val="decimal"/>
      </w:endnotePr>
      <w:type w:val="continuous"/>
      <w:pgSz w:w="12240" w:h="15840" w:code="1"/>
      <w:pgMar w:top="1440" w:right="1440" w:bottom="1440" w:left="1440" w:header="360" w:footer="720" w:gutter="0"/>
      <w:paperSrc w:first="4" w:other="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8B1" w:rsidRDefault="00D108B1" w:rsidP="00BB771C">
      <w:r>
        <w:separator/>
      </w:r>
    </w:p>
  </w:endnote>
  <w:endnote w:type="continuationSeparator" w:id="0">
    <w:p w:rsidR="00D108B1" w:rsidRDefault="00D108B1" w:rsidP="00BB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8B1" w:rsidRDefault="00D108B1" w:rsidP="00BB771C">
      <w:r>
        <w:separator/>
      </w:r>
    </w:p>
  </w:footnote>
  <w:footnote w:type="continuationSeparator" w:id="0">
    <w:p w:rsidR="00D108B1" w:rsidRDefault="00D108B1" w:rsidP="00BB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B8" w:rsidRDefault="00CA7CB8">
    <w:pPr>
      <w:pStyle w:val="Header"/>
    </w:pPr>
    <w:r>
      <w:t>Regulation Development – AI# 168759</w:t>
    </w:r>
  </w:p>
  <w:p w:rsidR="00CA7CB8" w:rsidRDefault="00CA7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1C" w:rsidRDefault="00BB771C">
    <w:pPr>
      <w:pStyle w:val="Header"/>
    </w:pPr>
    <w:r>
      <w:t>Regulation Development – AI# 168759</w:t>
    </w:r>
  </w:p>
  <w:p w:rsidR="00BB771C" w:rsidRDefault="00BB77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lTrailSpace/>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CC"/>
    <w:rsid w:val="00002491"/>
    <w:rsid w:val="00003DC3"/>
    <w:rsid w:val="00066669"/>
    <w:rsid w:val="000B6C88"/>
    <w:rsid w:val="000C5653"/>
    <w:rsid w:val="00105F32"/>
    <w:rsid w:val="00135D4D"/>
    <w:rsid w:val="001A3F01"/>
    <w:rsid w:val="001A546A"/>
    <w:rsid w:val="001D3A6F"/>
    <w:rsid w:val="001F0BEC"/>
    <w:rsid w:val="00246A9B"/>
    <w:rsid w:val="002A1B8D"/>
    <w:rsid w:val="002B30A5"/>
    <w:rsid w:val="002B5C08"/>
    <w:rsid w:val="002F31A2"/>
    <w:rsid w:val="00312CC5"/>
    <w:rsid w:val="00341B48"/>
    <w:rsid w:val="003562B4"/>
    <w:rsid w:val="00364604"/>
    <w:rsid w:val="00380EE3"/>
    <w:rsid w:val="00381C7A"/>
    <w:rsid w:val="003C71D2"/>
    <w:rsid w:val="003F14E3"/>
    <w:rsid w:val="00440001"/>
    <w:rsid w:val="004753D8"/>
    <w:rsid w:val="004F0068"/>
    <w:rsid w:val="004F5294"/>
    <w:rsid w:val="00523750"/>
    <w:rsid w:val="00526976"/>
    <w:rsid w:val="00553131"/>
    <w:rsid w:val="0058116B"/>
    <w:rsid w:val="005C1702"/>
    <w:rsid w:val="00606948"/>
    <w:rsid w:val="006405BE"/>
    <w:rsid w:val="00685AC2"/>
    <w:rsid w:val="0069201C"/>
    <w:rsid w:val="006956AC"/>
    <w:rsid w:val="006A747D"/>
    <w:rsid w:val="006B4426"/>
    <w:rsid w:val="006F3BC6"/>
    <w:rsid w:val="00751BD3"/>
    <w:rsid w:val="00757DA7"/>
    <w:rsid w:val="007619BE"/>
    <w:rsid w:val="007A6766"/>
    <w:rsid w:val="007D284E"/>
    <w:rsid w:val="007D75F2"/>
    <w:rsid w:val="008338C0"/>
    <w:rsid w:val="008748A3"/>
    <w:rsid w:val="008763CD"/>
    <w:rsid w:val="008D290C"/>
    <w:rsid w:val="0091649C"/>
    <w:rsid w:val="00922704"/>
    <w:rsid w:val="00940456"/>
    <w:rsid w:val="00955ED0"/>
    <w:rsid w:val="009C7BD6"/>
    <w:rsid w:val="009E1A06"/>
    <w:rsid w:val="009E1BE9"/>
    <w:rsid w:val="009E7FF2"/>
    <w:rsid w:val="00A06B80"/>
    <w:rsid w:val="00AB3FD7"/>
    <w:rsid w:val="00AD55D5"/>
    <w:rsid w:val="00B069AA"/>
    <w:rsid w:val="00B55C96"/>
    <w:rsid w:val="00B930D1"/>
    <w:rsid w:val="00B9542F"/>
    <w:rsid w:val="00BB3E27"/>
    <w:rsid w:val="00BB771C"/>
    <w:rsid w:val="00BC3CD7"/>
    <w:rsid w:val="00BD504B"/>
    <w:rsid w:val="00C30DAC"/>
    <w:rsid w:val="00C45928"/>
    <w:rsid w:val="00C80E8E"/>
    <w:rsid w:val="00C95210"/>
    <w:rsid w:val="00CA55FD"/>
    <w:rsid w:val="00CA5EE1"/>
    <w:rsid w:val="00CA7CB8"/>
    <w:rsid w:val="00CE488B"/>
    <w:rsid w:val="00CF173F"/>
    <w:rsid w:val="00CF2A96"/>
    <w:rsid w:val="00D108B1"/>
    <w:rsid w:val="00D35950"/>
    <w:rsid w:val="00D739E7"/>
    <w:rsid w:val="00D9650C"/>
    <w:rsid w:val="00DA1420"/>
    <w:rsid w:val="00DA6133"/>
    <w:rsid w:val="00DC773D"/>
    <w:rsid w:val="00DD74C5"/>
    <w:rsid w:val="00DE6675"/>
    <w:rsid w:val="00E47244"/>
    <w:rsid w:val="00E521AF"/>
    <w:rsid w:val="00F21DD3"/>
    <w:rsid w:val="00F34057"/>
    <w:rsid w:val="00F654CC"/>
    <w:rsid w:val="00F82835"/>
    <w:rsid w:val="00FC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F29E801-EECF-4073-90C9-9BB15031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ind w:left="5040" w:firstLine="720"/>
      <w:outlineLvl w:val="0"/>
    </w:pPr>
    <w:rPr>
      <w:rFonts w:ascii="Arial" w:hAnsi="Arial"/>
      <w:u w:val="single"/>
    </w:rPr>
  </w:style>
  <w:style w:type="paragraph" w:styleId="Heading2">
    <w:name w:val="heading 2"/>
    <w:basedOn w:val="Normal"/>
    <w:next w:val="Normal"/>
    <w:link w:val="Heading2Char"/>
    <w:semiHidden/>
    <w:unhideWhenUsed/>
    <w:qFormat/>
    <w:rsid w:val="003646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36460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6460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WPNormal">
    <w:name w:val="WP_Normal"/>
    <w:basedOn w:val="Normal"/>
    <w:rsid w:val="004753D8"/>
    <w:pPr>
      <w:autoSpaceDE w:val="0"/>
      <w:autoSpaceDN w:val="0"/>
      <w:jc w:val="both"/>
    </w:pPr>
    <w:rPr>
      <w:rFonts w:ascii="New Century Schlbk" w:hAnsi="New Century Schlbk"/>
      <w:snapToGrid/>
      <w:color w:val="000000"/>
    </w:rPr>
  </w:style>
  <w:style w:type="paragraph" w:styleId="Header">
    <w:name w:val="header"/>
    <w:basedOn w:val="Normal"/>
    <w:link w:val="HeaderChar"/>
    <w:uiPriority w:val="99"/>
    <w:rsid w:val="00BB771C"/>
    <w:pPr>
      <w:tabs>
        <w:tab w:val="center" w:pos="4680"/>
        <w:tab w:val="right" w:pos="9360"/>
      </w:tabs>
    </w:pPr>
  </w:style>
  <w:style w:type="character" w:customStyle="1" w:styleId="HeaderChar">
    <w:name w:val="Header Char"/>
    <w:link w:val="Header"/>
    <w:uiPriority w:val="99"/>
    <w:rsid w:val="00BB771C"/>
    <w:rPr>
      <w:snapToGrid w:val="0"/>
      <w:sz w:val="24"/>
    </w:rPr>
  </w:style>
  <w:style w:type="paragraph" w:styleId="Footer">
    <w:name w:val="footer"/>
    <w:basedOn w:val="Normal"/>
    <w:link w:val="FooterChar"/>
    <w:rsid w:val="00BB771C"/>
    <w:pPr>
      <w:tabs>
        <w:tab w:val="center" w:pos="4680"/>
        <w:tab w:val="right" w:pos="9360"/>
      </w:tabs>
    </w:pPr>
  </w:style>
  <w:style w:type="character" w:customStyle="1" w:styleId="FooterChar">
    <w:name w:val="Footer Char"/>
    <w:link w:val="Footer"/>
    <w:rsid w:val="00BB771C"/>
    <w:rPr>
      <w:snapToGrid w:val="0"/>
      <w:sz w:val="24"/>
    </w:rPr>
  </w:style>
  <w:style w:type="paragraph" w:styleId="BalloonText">
    <w:name w:val="Balloon Text"/>
    <w:basedOn w:val="Normal"/>
    <w:link w:val="BalloonTextChar"/>
    <w:rsid w:val="00BB771C"/>
    <w:rPr>
      <w:rFonts w:ascii="Tahoma" w:hAnsi="Tahoma" w:cs="Tahoma"/>
      <w:sz w:val="16"/>
      <w:szCs w:val="16"/>
    </w:rPr>
  </w:style>
  <w:style w:type="character" w:customStyle="1" w:styleId="BalloonTextChar">
    <w:name w:val="Balloon Text Char"/>
    <w:link w:val="BalloonText"/>
    <w:rsid w:val="00BB771C"/>
    <w:rPr>
      <w:rFonts w:ascii="Tahoma" w:hAnsi="Tahoma" w:cs="Tahoma"/>
      <w:snapToGrid w:val="0"/>
      <w:sz w:val="16"/>
      <w:szCs w:val="16"/>
    </w:rPr>
  </w:style>
  <w:style w:type="character" w:styleId="CommentReference">
    <w:name w:val="annotation reference"/>
    <w:rsid w:val="0058116B"/>
    <w:rPr>
      <w:sz w:val="16"/>
      <w:szCs w:val="16"/>
    </w:rPr>
  </w:style>
  <w:style w:type="paragraph" w:styleId="CommentText">
    <w:name w:val="annotation text"/>
    <w:basedOn w:val="Normal"/>
    <w:link w:val="CommentTextChar"/>
    <w:rsid w:val="0058116B"/>
    <w:rPr>
      <w:sz w:val="20"/>
    </w:rPr>
  </w:style>
  <w:style w:type="character" w:customStyle="1" w:styleId="CommentTextChar">
    <w:name w:val="Comment Text Char"/>
    <w:link w:val="CommentText"/>
    <w:rsid w:val="0058116B"/>
    <w:rPr>
      <w:snapToGrid w:val="0"/>
    </w:rPr>
  </w:style>
  <w:style w:type="paragraph" w:styleId="CommentSubject">
    <w:name w:val="annotation subject"/>
    <w:basedOn w:val="CommentText"/>
    <w:next w:val="CommentText"/>
    <w:link w:val="CommentSubjectChar"/>
    <w:rsid w:val="0058116B"/>
    <w:rPr>
      <w:b/>
      <w:bCs/>
    </w:rPr>
  </w:style>
  <w:style w:type="character" w:customStyle="1" w:styleId="CommentSubjectChar">
    <w:name w:val="Comment Subject Char"/>
    <w:link w:val="CommentSubject"/>
    <w:rsid w:val="0058116B"/>
    <w:rPr>
      <w:b/>
      <w:bCs/>
      <w:snapToGrid w:val="0"/>
    </w:rPr>
  </w:style>
  <w:style w:type="paragraph" w:styleId="BodyTextIndent3">
    <w:name w:val="Body Text Indent 3"/>
    <w:basedOn w:val="Normal"/>
    <w:link w:val="BodyTextIndent3Char"/>
    <w:rsid w:val="000C5653"/>
    <w:pPr>
      <w:widowControl/>
      <w:tabs>
        <w:tab w:val="num" w:pos="2160"/>
      </w:tabs>
      <w:ind w:left="2160" w:hanging="720"/>
    </w:pPr>
    <w:rPr>
      <w:rFonts w:ascii="Arial" w:hAnsi="Arial"/>
      <w:snapToGrid/>
      <w:szCs w:val="24"/>
    </w:rPr>
  </w:style>
  <w:style w:type="character" w:customStyle="1" w:styleId="BodyTextIndent3Char">
    <w:name w:val="Body Text Indent 3 Char"/>
    <w:link w:val="BodyTextIndent3"/>
    <w:rsid w:val="000C5653"/>
    <w:rPr>
      <w:rFonts w:ascii="Arial" w:hAnsi="Arial"/>
      <w:sz w:val="24"/>
      <w:szCs w:val="24"/>
    </w:rPr>
  </w:style>
  <w:style w:type="paragraph" w:styleId="Title">
    <w:name w:val="Title"/>
    <w:basedOn w:val="Normal"/>
    <w:link w:val="TitleChar"/>
    <w:qFormat/>
    <w:rsid w:val="00364604"/>
    <w:pPr>
      <w:widowControl/>
      <w:jc w:val="center"/>
    </w:pPr>
    <w:rPr>
      <w:snapToGrid/>
    </w:rPr>
  </w:style>
  <w:style w:type="character" w:customStyle="1" w:styleId="TitleChar">
    <w:name w:val="Title Char"/>
    <w:basedOn w:val="DefaultParagraphFont"/>
    <w:link w:val="Title"/>
    <w:rsid w:val="00364604"/>
    <w:rPr>
      <w:sz w:val="24"/>
    </w:rPr>
  </w:style>
  <w:style w:type="character" w:customStyle="1" w:styleId="Heading2Char">
    <w:name w:val="Heading 2 Char"/>
    <w:basedOn w:val="DefaultParagraphFont"/>
    <w:link w:val="Heading2"/>
    <w:semiHidden/>
    <w:rsid w:val="00364604"/>
    <w:rPr>
      <w:rFonts w:asciiTheme="majorHAnsi" w:eastAsiaTheme="majorEastAsia" w:hAnsiTheme="majorHAnsi" w:cstheme="majorBidi"/>
      <w:snapToGrid w:val="0"/>
      <w:color w:val="2E74B5" w:themeColor="accent1" w:themeShade="BF"/>
      <w:sz w:val="26"/>
      <w:szCs w:val="26"/>
    </w:rPr>
  </w:style>
  <w:style w:type="character" w:customStyle="1" w:styleId="Heading4Char">
    <w:name w:val="Heading 4 Char"/>
    <w:basedOn w:val="DefaultParagraphFont"/>
    <w:link w:val="Heading4"/>
    <w:semiHidden/>
    <w:rsid w:val="00364604"/>
    <w:rPr>
      <w:rFonts w:asciiTheme="majorHAnsi" w:eastAsiaTheme="majorEastAsia" w:hAnsiTheme="majorHAnsi" w:cstheme="majorBidi"/>
      <w:i/>
      <w:iCs/>
      <w:snapToGrid w:val="0"/>
      <w:color w:val="2E74B5" w:themeColor="accent1" w:themeShade="BF"/>
      <w:sz w:val="24"/>
    </w:rPr>
  </w:style>
  <w:style w:type="character" w:customStyle="1" w:styleId="Heading5Char">
    <w:name w:val="Heading 5 Char"/>
    <w:basedOn w:val="DefaultParagraphFont"/>
    <w:link w:val="Heading5"/>
    <w:semiHidden/>
    <w:rsid w:val="00364604"/>
    <w:rPr>
      <w:rFonts w:asciiTheme="majorHAnsi" w:eastAsiaTheme="majorEastAsia" w:hAnsiTheme="majorHAnsi" w:cstheme="majorBidi"/>
      <w:snapToGrid w:val="0"/>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49C4-70EE-4D58-B175-C01A4213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2276</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La DEQ</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DEQ</dc:creator>
  <cp:keywords/>
  <cp:lastModifiedBy>Laura Almond</cp:lastModifiedBy>
  <cp:revision>2</cp:revision>
  <cp:lastPrinted>2018-11-27T16:09:00Z</cp:lastPrinted>
  <dcterms:created xsi:type="dcterms:W3CDTF">2019-01-04T19:41:00Z</dcterms:created>
  <dcterms:modified xsi:type="dcterms:W3CDTF">2019-01-04T19:41:00Z</dcterms:modified>
</cp:coreProperties>
</file>