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BD" w:rsidRDefault="008315BD" w:rsidP="008315BD">
      <w:pPr>
        <w:jc w:val="center"/>
      </w:pPr>
      <w:bookmarkStart w:id="0" w:name="_GoBack"/>
      <w:bookmarkEnd w:id="0"/>
      <w:r>
        <w:t>NOTICE OF INTENT</w:t>
      </w:r>
    </w:p>
    <w:p w:rsidR="008315BD" w:rsidRDefault="008315BD" w:rsidP="008315BD">
      <w:pPr>
        <w:jc w:val="center"/>
      </w:pPr>
    </w:p>
    <w:p w:rsidR="008315BD" w:rsidRDefault="008315BD" w:rsidP="008315BD">
      <w:pPr>
        <w:jc w:val="center"/>
      </w:pPr>
      <w:r>
        <w:t>Department of Environmental Quality</w:t>
      </w:r>
    </w:p>
    <w:p w:rsidR="008315BD" w:rsidRDefault="008315BD" w:rsidP="008315BD">
      <w:pPr>
        <w:jc w:val="center"/>
      </w:pPr>
      <w:r>
        <w:t>Office of the Secretary</w:t>
      </w:r>
    </w:p>
    <w:p w:rsidR="008315BD" w:rsidRDefault="008315BD" w:rsidP="008315BD">
      <w:pPr>
        <w:jc w:val="center"/>
      </w:pPr>
      <w:r>
        <w:t>Legal Affairs and Criminal Investigations Division</w:t>
      </w:r>
    </w:p>
    <w:p w:rsidR="008315BD" w:rsidRDefault="008315BD" w:rsidP="008315BD">
      <w:pPr>
        <w:jc w:val="center"/>
      </w:pPr>
    </w:p>
    <w:p w:rsidR="008315BD" w:rsidRDefault="008315BD" w:rsidP="008315BD">
      <w:pPr>
        <w:jc w:val="center"/>
      </w:pPr>
      <w:r>
        <w:rPr>
          <w:noProof/>
        </w:rPr>
        <w:t>Lead-Based Paint Activities—Recognition, Accreditation, Licensure, and Standards for Conducting Lead-Based Paint Activities</w:t>
      </w:r>
    </w:p>
    <w:p w:rsidR="008315BD" w:rsidRDefault="008315BD" w:rsidP="008315BD">
      <w:pPr>
        <w:jc w:val="center"/>
      </w:pPr>
      <w:r>
        <w:t>(</w:t>
      </w:r>
      <w:r w:rsidRPr="00A778E1">
        <w:rPr>
          <w:noProof/>
        </w:rPr>
        <w:t>LAC 33:III.</w:t>
      </w:r>
      <w:r>
        <w:rPr>
          <w:noProof/>
        </w:rPr>
        <w:t>2803 and 2811)</w:t>
      </w:r>
      <w:r>
        <w:t xml:space="preserve"> (</w:t>
      </w:r>
      <w:r w:rsidRPr="00A778E1">
        <w:rPr>
          <w:noProof/>
        </w:rPr>
        <w:t>AQ3</w:t>
      </w:r>
      <w:r>
        <w:rPr>
          <w:noProof/>
        </w:rPr>
        <w:t>90</w:t>
      </w:r>
      <w:r w:rsidRPr="00A778E1">
        <w:rPr>
          <w:noProof/>
        </w:rPr>
        <w:t>FT</w:t>
      </w:r>
      <w:r>
        <w:t>)</w:t>
      </w:r>
    </w:p>
    <w:p w:rsidR="008315BD" w:rsidRDefault="008315BD" w:rsidP="008315BD">
      <w:pPr>
        <w:jc w:val="center"/>
      </w:pPr>
    </w:p>
    <w:p w:rsidR="008315BD" w:rsidRDefault="008315BD" w:rsidP="008315BD">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A778E1">
        <w:rPr>
          <w:noProof/>
        </w:rPr>
        <w:t>Air</w:t>
      </w:r>
      <w:r>
        <w:t xml:space="preserve"> regulations, </w:t>
      </w:r>
      <w:r w:rsidRPr="00A778E1">
        <w:rPr>
          <w:noProof/>
        </w:rPr>
        <w:t>LAC 33:III.</w:t>
      </w:r>
      <w:r>
        <w:rPr>
          <w:noProof/>
        </w:rPr>
        <w:t>2803</w:t>
      </w:r>
      <w:r w:rsidRPr="00A778E1">
        <w:rPr>
          <w:noProof/>
        </w:rPr>
        <w:t xml:space="preserve"> and </w:t>
      </w:r>
      <w:r>
        <w:rPr>
          <w:noProof/>
        </w:rPr>
        <w:t>2811</w:t>
      </w:r>
      <w:r>
        <w:t xml:space="preserve"> (Log #</w:t>
      </w:r>
      <w:r w:rsidRPr="00A778E1">
        <w:rPr>
          <w:noProof/>
        </w:rPr>
        <w:t>AQ3</w:t>
      </w:r>
      <w:r>
        <w:rPr>
          <w:noProof/>
        </w:rPr>
        <w:t>90</w:t>
      </w:r>
      <w:r w:rsidRPr="00A778E1">
        <w:rPr>
          <w:noProof/>
        </w:rPr>
        <w:t>FT</w:t>
      </w:r>
      <w:r>
        <w:t>).</w:t>
      </w:r>
    </w:p>
    <w:p w:rsidR="008315BD" w:rsidRDefault="008315BD" w:rsidP="008315BD"/>
    <w:p w:rsidR="008315BD" w:rsidRDefault="008315BD" w:rsidP="008315BD">
      <w:r>
        <w:tab/>
        <w:t xml:space="preserve">This Rule is identical to federal regulations found in </w:t>
      </w:r>
      <w:r w:rsidRPr="00A778E1">
        <w:rPr>
          <w:noProof/>
        </w:rPr>
        <w:t xml:space="preserve">40 CFR </w:t>
      </w:r>
      <w:r>
        <w:rPr>
          <w:noProof/>
        </w:rPr>
        <w:t>Part 745</w:t>
      </w:r>
      <w:r>
        <w:t xml:space="preserve"> which is applicable in Louisiana. For more information regarding the federal requirement, contact Deidra Johnson at (225) 219-3985. No fiscal or economic impact will result from the Rule. This Rule will be promulgated in accordance with the procedures in R.S. 49:953(F)(3) and (4).</w:t>
      </w:r>
    </w:p>
    <w:p w:rsidR="008315BD" w:rsidRDefault="008315BD" w:rsidP="008315BD"/>
    <w:p w:rsidR="008315BD" w:rsidRDefault="008315BD" w:rsidP="008315BD">
      <w:r>
        <w:tab/>
      </w:r>
      <w:r w:rsidRPr="00743694">
        <w:rPr>
          <w:noProof/>
        </w:rPr>
        <w:t>Chapter 28, Lead-Based Paint Activities: Recognition, Accreditation, Licensure and Standards for Conducting Lead-Based Paint Activities outlines the requirements for persons who disturb lead-based paint in target housing and child-occupied facilities. The Environmental Protection Agency (EPA) and the Department of Housing and Urban Development (HUD) adopted new dust-lead hazard standards and dust-lead clearance levels for surface dust and windowsills in target housing and child-occupied facilities effective January 6, 2020, and March 8, 2021. As an EPA-authorized state, LDEQ is required to adopt the new standards within two years of federal promulgation.</w:t>
      </w:r>
      <w:r>
        <w:rPr>
          <w:noProof/>
        </w:rPr>
        <w:t xml:space="preserve"> </w:t>
      </w:r>
      <w:r w:rsidRPr="00743694">
        <w:rPr>
          <w:noProof/>
        </w:rPr>
        <w:t>The basis and rationale for this Rule are to mirror the federal regulations. As an EPA-authorized state for lead-based paint activities, we are required to adopt revisions to the federal Rule, in this case, the lead-dust hazard standards and dust-lead clearance levels.</w:t>
      </w:r>
      <w:r>
        <w:t xml:space="preserve"> This Rule meets an exception listed in R.S. 30:2019(D)(2) and R.S. 49:953(G)(3); therefore, no report regarding environmental/health benefits and social/economic costs is required.</w:t>
      </w:r>
    </w:p>
    <w:p w:rsidR="008315BD" w:rsidRDefault="008315BD" w:rsidP="008315BD"/>
    <w:p w:rsidR="008315BD" w:rsidRPr="00D54CEA" w:rsidRDefault="008315BD" w:rsidP="008315BD">
      <w:pPr>
        <w:jc w:val="center"/>
        <w:rPr>
          <w:b/>
        </w:rPr>
      </w:pPr>
      <w:r w:rsidRPr="00D54CEA">
        <w:rPr>
          <w:b/>
        </w:rPr>
        <w:t>Family Impact Statement</w:t>
      </w:r>
    </w:p>
    <w:p w:rsidR="008315BD" w:rsidRDefault="008315BD" w:rsidP="008315BD">
      <w:pPr>
        <w:ind w:firstLine="720"/>
        <w:rPr>
          <w:szCs w:val="24"/>
        </w:rPr>
      </w:pPr>
      <w:r>
        <w:t>This Rule has no known impact on family formation, stability, and autonomy as described in R.S. 49:972.</w:t>
      </w:r>
    </w:p>
    <w:p w:rsidR="008315BD" w:rsidRPr="00D54CEA" w:rsidRDefault="008315BD" w:rsidP="008315BD">
      <w:pPr>
        <w:jc w:val="center"/>
        <w:rPr>
          <w:b/>
          <w:szCs w:val="24"/>
        </w:rPr>
      </w:pPr>
      <w:r w:rsidRPr="00D54CEA">
        <w:rPr>
          <w:b/>
          <w:szCs w:val="24"/>
        </w:rPr>
        <w:t>Poverty Impact Statement</w:t>
      </w:r>
    </w:p>
    <w:p w:rsidR="008315BD" w:rsidRDefault="008315BD" w:rsidP="008315BD">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8315BD" w:rsidRDefault="008315BD" w:rsidP="008315BD">
      <w:pPr>
        <w:ind w:firstLine="720"/>
        <w:rPr>
          <w:color w:val="000000"/>
          <w:szCs w:val="24"/>
        </w:rPr>
      </w:pPr>
    </w:p>
    <w:p w:rsidR="008315BD" w:rsidRDefault="008315BD" w:rsidP="008315BD">
      <w:pPr>
        <w:jc w:val="center"/>
        <w:rPr>
          <w:b/>
          <w:color w:val="000000"/>
          <w:szCs w:val="24"/>
        </w:rPr>
      </w:pPr>
      <w:r>
        <w:rPr>
          <w:b/>
          <w:color w:val="000000"/>
          <w:szCs w:val="24"/>
        </w:rPr>
        <w:t>Small Business Analysis</w:t>
      </w:r>
    </w:p>
    <w:p w:rsidR="008315BD" w:rsidRDefault="008315BD" w:rsidP="008315BD">
      <w:pPr>
        <w:ind w:firstLine="720"/>
        <w:rPr>
          <w:szCs w:val="24"/>
        </w:rPr>
      </w:pPr>
      <w:r>
        <w:rPr>
          <w:color w:val="000000"/>
          <w:szCs w:val="24"/>
        </w:rPr>
        <w:t xml:space="preserve">This Rule has no known impact on small business as described </w:t>
      </w:r>
      <w:r w:rsidRPr="003C1B5D">
        <w:rPr>
          <w:color w:val="000000"/>
          <w:szCs w:val="24"/>
        </w:rPr>
        <w:t xml:space="preserve">in </w:t>
      </w:r>
      <w:r w:rsidRPr="003C1B5D">
        <w:rPr>
          <w:szCs w:val="24"/>
        </w:rPr>
        <w:t>R.S. 49:</w:t>
      </w:r>
      <w:r>
        <w:rPr>
          <w:szCs w:val="24"/>
        </w:rPr>
        <w:t>978.1</w:t>
      </w:r>
      <w:r w:rsidRPr="003C1B5D">
        <w:rPr>
          <w:szCs w:val="24"/>
        </w:rPr>
        <w:t xml:space="preserve"> </w:t>
      </w:r>
      <w:r>
        <w:rPr>
          <w:szCs w:val="24"/>
        </w:rPr>
        <w:t>–</w:t>
      </w:r>
      <w:r w:rsidRPr="003C1B5D">
        <w:rPr>
          <w:szCs w:val="24"/>
        </w:rPr>
        <w:t xml:space="preserve"> </w:t>
      </w:r>
      <w:r>
        <w:rPr>
          <w:szCs w:val="24"/>
        </w:rPr>
        <w:t>978.</w:t>
      </w:r>
      <w:r w:rsidRPr="003C1B5D">
        <w:rPr>
          <w:szCs w:val="24"/>
        </w:rPr>
        <w:t>8</w:t>
      </w:r>
      <w:r>
        <w:rPr>
          <w:szCs w:val="24"/>
        </w:rPr>
        <w:t>.</w:t>
      </w:r>
    </w:p>
    <w:p w:rsidR="008315BD" w:rsidRDefault="008315BD" w:rsidP="008315BD">
      <w:pPr>
        <w:ind w:firstLine="720"/>
        <w:rPr>
          <w:color w:val="000000"/>
          <w:szCs w:val="24"/>
        </w:rPr>
      </w:pPr>
    </w:p>
    <w:p w:rsidR="008315BD" w:rsidRPr="00D54CEA" w:rsidRDefault="008315BD" w:rsidP="008315BD">
      <w:pPr>
        <w:jc w:val="center"/>
        <w:rPr>
          <w:b/>
          <w:color w:val="000000"/>
          <w:szCs w:val="24"/>
        </w:rPr>
      </w:pPr>
      <w:r w:rsidRPr="00D54CEA">
        <w:rPr>
          <w:b/>
          <w:color w:val="000000"/>
          <w:szCs w:val="24"/>
        </w:rPr>
        <w:t>Provider Impact Statement</w:t>
      </w:r>
    </w:p>
    <w:p w:rsidR="008315BD" w:rsidRPr="00DA67A2" w:rsidRDefault="008315BD" w:rsidP="008315BD">
      <w:pPr>
        <w:ind w:firstLine="720"/>
        <w:rPr>
          <w:szCs w:val="24"/>
        </w:rPr>
      </w:pPr>
      <w:r>
        <w:rPr>
          <w:color w:val="000000"/>
          <w:szCs w:val="24"/>
        </w:rPr>
        <w:t>This Rule has no known impact on providers as described in HCR 170 of 2014.</w:t>
      </w:r>
    </w:p>
    <w:p w:rsidR="008315BD" w:rsidRDefault="008315BD" w:rsidP="008315BD"/>
    <w:p w:rsidR="008315BD" w:rsidRPr="00D54CEA" w:rsidRDefault="008315BD" w:rsidP="008315BD">
      <w:pPr>
        <w:jc w:val="center"/>
        <w:rPr>
          <w:b/>
        </w:rPr>
      </w:pPr>
      <w:r w:rsidRPr="00D54CEA">
        <w:rPr>
          <w:b/>
        </w:rPr>
        <w:lastRenderedPageBreak/>
        <w:t xml:space="preserve">Public </w:t>
      </w:r>
      <w:r>
        <w:rPr>
          <w:b/>
        </w:rPr>
        <w:t>Hearing</w:t>
      </w:r>
    </w:p>
    <w:p w:rsidR="008315BD" w:rsidRDefault="008315BD" w:rsidP="008315BD">
      <w:pPr>
        <w:ind w:firstLine="720"/>
      </w:pPr>
      <w:r>
        <w:t xml:space="preserve">A public hearing will be held on </w:t>
      </w:r>
      <w:r w:rsidRPr="00DB063A">
        <w:rPr>
          <w:noProof/>
        </w:rPr>
        <w:t>May 25, 2021</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8315BD" w:rsidRDefault="008315BD" w:rsidP="008315BD"/>
    <w:p w:rsidR="008315BD" w:rsidRPr="00D54CEA" w:rsidRDefault="008315BD" w:rsidP="008315BD">
      <w:pPr>
        <w:jc w:val="center"/>
        <w:rPr>
          <w:b/>
        </w:rPr>
      </w:pPr>
      <w:r w:rsidRPr="00D54CEA">
        <w:rPr>
          <w:b/>
        </w:rPr>
        <w:t xml:space="preserve">Public </w:t>
      </w:r>
      <w:r>
        <w:rPr>
          <w:b/>
        </w:rPr>
        <w:t>Comments</w:t>
      </w:r>
    </w:p>
    <w:p w:rsidR="008315BD" w:rsidRDefault="008315BD" w:rsidP="008315BD">
      <w:pPr>
        <w:ind w:firstLine="720"/>
      </w:pPr>
      <w:r>
        <w:t xml:space="preserve">All interested persons are invited to submit written comments on the proposed regulation. Persons commenting should reference this proposed regulation by </w:t>
      </w:r>
      <w:r w:rsidRPr="00A778E1">
        <w:rPr>
          <w:noProof/>
        </w:rPr>
        <w:t>AQ3</w:t>
      </w:r>
      <w:r>
        <w:rPr>
          <w:noProof/>
        </w:rPr>
        <w:t>90</w:t>
      </w:r>
      <w:r w:rsidRPr="00A778E1">
        <w:rPr>
          <w:noProof/>
        </w:rPr>
        <w:t>FT</w:t>
      </w:r>
      <w:r>
        <w:t xml:space="preserve">. Such comments must be received no later than </w:t>
      </w:r>
      <w:r>
        <w:rPr>
          <w:noProof/>
        </w:rPr>
        <w:t>May 25, 2021</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by fax (225) 219-4068 or by e-mail to DEQ.Reg.Dev.Comments@la.gov. The comment period for this Rule ends on the same date as the public hearing. Copies of this proposed regulation can be purchased by contacting the LDEQ Public Records Center at (225) 219-3168. Check or money order is required in advance for each copy of </w:t>
      </w:r>
      <w:r w:rsidRPr="00A778E1">
        <w:rPr>
          <w:noProof/>
        </w:rPr>
        <w:t>AQ3</w:t>
      </w:r>
      <w:r>
        <w:rPr>
          <w:noProof/>
        </w:rPr>
        <w:t>90</w:t>
      </w:r>
      <w:r w:rsidRPr="00A778E1">
        <w:rPr>
          <w:noProof/>
        </w:rPr>
        <w:t>FT</w:t>
      </w:r>
      <w:r>
        <w:t xml:space="preserve">. This regulation is available on the Internet at </w:t>
      </w:r>
      <w:r w:rsidRPr="00DB063A">
        <w:t>www.deq.louisiana.gov/portal/tabid/1669/default.aspx</w:t>
      </w:r>
      <w:r>
        <w:t>.</w:t>
      </w:r>
    </w:p>
    <w:p w:rsidR="008315BD" w:rsidRDefault="008315BD" w:rsidP="008315BD"/>
    <w:p w:rsidR="008315BD" w:rsidRDefault="008315BD" w:rsidP="008315BD">
      <w:r>
        <w:tab/>
        <w:t>This proposed regulation is available for inspection at the following LDEQ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w:t>
      </w:r>
      <w:r>
        <w:rPr>
          <w:szCs w:val="24"/>
        </w:rPr>
        <w:t>201 Evans Road, Bldg. 4, Suite 420, New Orleans, LA  70123</w:t>
      </w:r>
      <w:r>
        <w:t>.</w:t>
      </w:r>
    </w:p>
    <w:p w:rsidR="008315BD" w:rsidRDefault="008315BD" w:rsidP="008315BD"/>
    <w:p w:rsidR="008315BD" w:rsidRDefault="008315BD" w:rsidP="008315BD">
      <w:r>
        <w:tab/>
      </w:r>
      <w:r>
        <w:tab/>
      </w:r>
      <w:r>
        <w:tab/>
      </w:r>
      <w:r>
        <w:tab/>
      </w:r>
      <w:r>
        <w:tab/>
      </w:r>
      <w:r>
        <w:tab/>
        <w:t>Courtney J. Burdette</w:t>
      </w:r>
    </w:p>
    <w:p w:rsidR="008315BD" w:rsidRDefault="008315BD" w:rsidP="008315BD">
      <w:pPr>
        <w:ind w:left="3600" w:firstLine="720"/>
      </w:pPr>
      <w:r>
        <w:t>General Counsel</w:t>
      </w:r>
    </w:p>
    <w:p w:rsidR="008315BD" w:rsidRDefault="008315BD" w:rsidP="008315BD">
      <w:pPr>
        <w:ind w:left="3600" w:firstLine="720"/>
      </w:pPr>
    </w:p>
    <w:p w:rsidR="00AA320A" w:rsidRPr="008315BD" w:rsidRDefault="00AA320A" w:rsidP="008315BD">
      <w:pPr>
        <w:ind w:left="3600" w:firstLine="720"/>
        <w:rPr>
          <w:b/>
          <w:szCs w:val="24"/>
        </w:rPr>
      </w:pPr>
      <w:r w:rsidRPr="008315BD">
        <w:rPr>
          <w:b/>
          <w:szCs w:val="24"/>
        </w:rPr>
        <w:t xml:space="preserve">Title </w:t>
      </w:r>
      <w:bookmarkStart w:id="1" w:name="TitleNumber"/>
      <w:r w:rsidRPr="008315BD">
        <w:rPr>
          <w:b/>
          <w:szCs w:val="24"/>
        </w:rPr>
        <w:t>33</w:t>
      </w:r>
      <w:bookmarkEnd w:id="1"/>
    </w:p>
    <w:p w:rsidR="00AA320A" w:rsidRPr="00314299" w:rsidRDefault="00AA320A" w:rsidP="00CC2102">
      <w:pPr>
        <w:pStyle w:val="Title2"/>
        <w:spacing w:after="0"/>
        <w:rPr>
          <w:sz w:val="24"/>
          <w:szCs w:val="24"/>
        </w:rPr>
      </w:pPr>
      <w:bookmarkStart w:id="2" w:name="TitleName"/>
      <w:bookmarkStart w:id="3" w:name="PlaceKeeper"/>
      <w:r w:rsidRPr="00314299">
        <w:rPr>
          <w:sz w:val="24"/>
          <w:szCs w:val="24"/>
        </w:rPr>
        <w:t>ENVIRONMENTAL QUALITY</w:t>
      </w:r>
      <w:bookmarkEnd w:id="2"/>
      <w:bookmarkEnd w:id="3"/>
    </w:p>
    <w:p w:rsidR="005131E2" w:rsidRPr="00314299" w:rsidRDefault="00AA320A" w:rsidP="00CC2102">
      <w:pPr>
        <w:jc w:val="center"/>
        <w:rPr>
          <w:b/>
          <w:szCs w:val="24"/>
        </w:rPr>
      </w:pPr>
      <w:bookmarkStart w:id="4" w:name="TOC_Part0"/>
      <w:r w:rsidRPr="00314299">
        <w:rPr>
          <w:b/>
          <w:szCs w:val="24"/>
        </w:rPr>
        <w:t>Part III.  Air</w:t>
      </w:r>
      <w:bookmarkEnd w:id="4"/>
    </w:p>
    <w:p w:rsidR="00AA320A" w:rsidRPr="00314299" w:rsidRDefault="00AA320A" w:rsidP="00AA320A">
      <w:pPr>
        <w:rPr>
          <w:szCs w:val="24"/>
        </w:rPr>
      </w:pPr>
    </w:p>
    <w:p w:rsidR="00AA320A" w:rsidRPr="00314299" w:rsidRDefault="00AA320A" w:rsidP="00CC2102">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5" w:name="TOC_Chap330"/>
      <w:bookmarkStart w:id="6" w:name="_Toc382830475"/>
      <w:r w:rsidRPr="00314299">
        <w:rPr>
          <w:sz w:val="24"/>
          <w:szCs w:val="24"/>
        </w:rPr>
        <w:t>Chapter 28.</w:t>
      </w:r>
      <w:bookmarkStart w:id="7" w:name="TOCT_Chap330"/>
      <w:bookmarkEnd w:id="5"/>
      <w:r w:rsidR="00CC2102">
        <w:rPr>
          <w:sz w:val="24"/>
          <w:szCs w:val="24"/>
        </w:rPr>
        <w:tab/>
      </w:r>
      <w:r w:rsidRPr="00314299">
        <w:rPr>
          <w:sz w:val="24"/>
          <w:szCs w:val="24"/>
        </w:rPr>
        <w:t>Lead-Based Paint Activities―Recognition, Accreditation, Licensure, and Standards for Conducting Lead-Based Paint Activities</w:t>
      </w:r>
      <w:bookmarkEnd w:id="6"/>
      <w:bookmarkEnd w:id="7"/>
    </w:p>
    <w:p w:rsidR="005238A1" w:rsidRPr="005238A1" w:rsidRDefault="005238A1" w:rsidP="005238A1">
      <w:pPr>
        <w:tabs>
          <w:tab w:val="left" w:pos="810"/>
        </w:tabs>
        <w:spacing w:line="480" w:lineRule="auto"/>
        <w:rPr>
          <w:b/>
          <w:szCs w:val="24"/>
        </w:rPr>
      </w:pPr>
      <w:bookmarkStart w:id="8" w:name="_Toc382830477"/>
      <w:bookmarkStart w:id="9" w:name="TOC_Sect640"/>
      <w:r w:rsidRPr="005238A1">
        <w:rPr>
          <w:b/>
          <w:szCs w:val="24"/>
        </w:rPr>
        <w:t>§2803.</w:t>
      </w:r>
      <w:r w:rsidRPr="005238A1">
        <w:rPr>
          <w:b/>
          <w:szCs w:val="24"/>
        </w:rPr>
        <w:tab/>
        <w:t>Definitions</w:t>
      </w:r>
      <w:bookmarkEnd w:id="8"/>
      <w:bookmarkEnd w:id="9"/>
    </w:p>
    <w:p w:rsidR="00AA320A" w:rsidRPr="00CC2102" w:rsidRDefault="005238A1" w:rsidP="00CC2102">
      <w:pPr>
        <w:tabs>
          <w:tab w:val="left" w:pos="720"/>
        </w:tabs>
        <w:spacing w:line="480" w:lineRule="auto"/>
        <w:rPr>
          <w:szCs w:val="24"/>
        </w:rPr>
      </w:pPr>
      <w:r>
        <w:rPr>
          <w:szCs w:val="24"/>
        </w:rPr>
        <w:tab/>
      </w:r>
      <w:r w:rsidR="00CC2102">
        <w:rPr>
          <w:szCs w:val="24"/>
        </w:rPr>
        <w:t>A.</w:t>
      </w:r>
      <w:r w:rsidR="00CC2102">
        <w:rPr>
          <w:szCs w:val="24"/>
        </w:rPr>
        <w:tab/>
      </w:r>
      <w:r w:rsidR="00AA320A" w:rsidRPr="00CC2102">
        <w:rPr>
          <w:szCs w:val="24"/>
        </w:rPr>
        <w:t>…</w:t>
      </w:r>
    </w:p>
    <w:p w:rsidR="00AA320A" w:rsidRPr="00314299" w:rsidRDefault="00314299" w:rsidP="00CC2102">
      <w:pPr>
        <w:tabs>
          <w:tab w:val="left" w:pos="720"/>
        </w:tabs>
        <w:spacing w:line="480" w:lineRule="auto"/>
        <w:jc w:val="center"/>
        <w:rPr>
          <w:szCs w:val="24"/>
        </w:rPr>
      </w:pPr>
      <w:r w:rsidRPr="00314299">
        <w:rPr>
          <w:szCs w:val="24"/>
        </w:rPr>
        <w:t>* * *</w:t>
      </w:r>
    </w:p>
    <w:p w:rsidR="00AA320A" w:rsidRPr="00314299" w:rsidRDefault="00CC2102" w:rsidP="00CC2102">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i/>
          <w:sz w:val="24"/>
          <w:szCs w:val="24"/>
        </w:rPr>
        <w:lastRenderedPageBreak/>
        <w:tab/>
      </w:r>
      <w:r>
        <w:rPr>
          <w:i/>
          <w:sz w:val="24"/>
          <w:szCs w:val="24"/>
        </w:rPr>
        <w:tab/>
      </w:r>
      <w:r w:rsidR="00AA320A" w:rsidRPr="00CC2102">
        <w:rPr>
          <w:i/>
          <w:sz w:val="24"/>
          <w:szCs w:val="24"/>
        </w:rPr>
        <w:t>Clearance Levels</w:t>
      </w:r>
      <w:r w:rsidR="00AA320A" w:rsidRPr="00314299">
        <w:rPr>
          <w:iCs/>
          <w:sz w:val="24"/>
          <w:szCs w:val="24"/>
        </w:rPr>
        <w:t>―</w:t>
      </w:r>
      <w:r w:rsidR="00AA320A" w:rsidRPr="00314299">
        <w:rPr>
          <w:sz w:val="24"/>
          <w:szCs w:val="24"/>
        </w:rPr>
        <w:t>values that indicate the maximum amount of lead permitted in soil or dust on a surface following completion of an abatement activity. Clearance levels that are appropriate for the purposes of this Chapter are listed in LAC 33:III.2811.A.4.</w:t>
      </w:r>
      <w:r w:rsidR="00AA320A" w:rsidRPr="00CC2102">
        <w:rPr>
          <w:sz w:val="24"/>
          <w:szCs w:val="24"/>
          <w:u w:val="single"/>
        </w:rPr>
        <w:t xml:space="preserve"> </w:t>
      </w:r>
      <w:r w:rsidR="00AA320A" w:rsidRPr="00314299">
        <w:rPr>
          <w:sz w:val="24"/>
          <w:szCs w:val="24"/>
          <w:u w:val="single"/>
        </w:rPr>
        <w:t>To achieve clearance when dust sampling is required, values below these levels must be achieved.</w:t>
      </w:r>
    </w:p>
    <w:p w:rsidR="00314299" w:rsidRPr="00CC2102" w:rsidRDefault="00314299" w:rsidP="00CC2102">
      <w:pPr>
        <w:pStyle w:val="1"/>
        <w:tabs>
          <w:tab w:val="clear" w:pos="979"/>
          <w:tab w:val="clear" w:pos="1152"/>
          <w:tab w:val="clear" w:pos="4500"/>
          <w:tab w:val="clear" w:pos="4680"/>
          <w:tab w:val="clear" w:pos="4860"/>
          <w:tab w:val="clear" w:pos="5040"/>
          <w:tab w:val="clear" w:pos="7200"/>
        </w:tabs>
        <w:spacing w:after="0" w:line="480" w:lineRule="auto"/>
        <w:ind w:firstLine="0"/>
        <w:jc w:val="center"/>
        <w:rPr>
          <w:rFonts w:eastAsia="MS Mincho"/>
          <w:iCs/>
          <w:sz w:val="24"/>
          <w:szCs w:val="24"/>
        </w:rPr>
      </w:pPr>
      <w:r w:rsidRPr="00CC2102">
        <w:rPr>
          <w:rFonts w:eastAsia="MS Mincho"/>
          <w:iCs/>
          <w:sz w:val="24"/>
          <w:szCs w:val="24"/>
        </w:rPr>
        <w:t>* * *</w:t>
      </w:r>
    </w:p>
    <w:p w:rsidR="00AA320A" w:rsidRPr="00314299" w:rsidRDefault="00617BE3" w:rsidP="00617BE3">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eastAsia="MS Mincho"/>
          <w:sz w:val="24"/>
          <w:szCs w:val="24"/>
        </w:rPr>
      </w:pPr>
      <w:r>
        <w:rPr>
          <w:rFonts w:eastAsia="MS Mincho"/>
          <w:i/>
          <w:iCs/>
          <w:sz w:val="24"/>
          <w:szCs w:val="24"/>
        </w:rPr>
        <w:tab/>
      </w:r>
      <w:r>
        <w:rPr>
          <w:rFonts w:eastAsia="MS Mincho"/>
          <w:i/>
          <w:iCs/>
          <w:sz w:val="24"/>
          <w:szCs w:val="24"/>
        </w:rPr>
        <w:tab/>
      </w:r>
      <w:r w:rsidR="00AA320A" w:rsidRPr="00CC2102">
        <w:rPr>
          <w:rFonts w:eastAsia="MS Mincho"/>
          <w:i/>
          <w:iCs/>
          <w:sz w:val="24"/>
          <w:szCs w:val="24"/>
        </w:rPr>
        <w:t>Dust-Lead Hazard</w:t>
      </w:r>
      <w:r w:rsidR="00AA320A" w:rsidRPr="00314299">
        <w:rPr>
          <w:rFonts w:eastAsia="MS Mincho"/>
          <w:sz w:val="24"/>
          <w:szCs w:val="24"/>
        </w:rPr>
        <w:t xml:space="preserve">―surface dust in a residential building or child-occupied facility, or their exteriors, that contains a mass-per-area concentration of lead equal to or exceeding </w:t>
      </w:r>
      <w:r w:rsidR="00AA320A" w:rsidRPr="00CA0864">
        <w:rPr>
          <w:rFonts w:eastAsia="MS Mincho"/>
          <w:strike/>
          <w:sz w:val="24"/>
          <w:szCs w:val="24"/>
        </w:rPr>
        <w:t>40</w:t>
      </w:r>
      <w:r w:rsidR="00AA320A" w:rsidRPr="00CA0864">
        <w:rPr>
          <w:rFonts w:eastAsia="MS Mincho"/>
          <w:sz w:val="24"/>
          <w:szCs w:val="24"/>
          <w:u w:val="single"/>
        </w:rPr>
        <w:t>10</w:t>
      </w:r>
      <w:r w:rsidR="00AA320A" w:rsidRPr="00314299">
        <w:rPr>
          <w:rFonts w:eastAsia="MS Mincho"/>
          <w:b/>
          <w:sz w:val="24"/>
          <w:szCs w:val="24"/>
        </w:rPr>
        <w:t xml:space="preserve"> </w:t>
      </w:r>
      <w:r w:rsidR="00AA320A" w:rsidRPr="00314299">
        <w:rPr>
          <w:rFonts w:eastAsia="MS Mincho"/>
          <w:sz w:val="24"/>
          <w:szCs w:val="24"/>
        </w:rPr>
        <w:t xml:space="preserve">micrograms per square foot </w:t>
      </w:r>
      <w:r w:rsidR="0062331B" w:rsidRPr="0062331B">
        <w:rPr>
          <w:rFonts w:eastAsia="MS Mincho"/>
          <w:sz w:val="24"/>
          <w:szCs w:val="24"/>
          <w:u w:val="single"/>
        </w:rPr>
        <w:t xml:space="preserve">on floors </w:t>
      </w:r>
      <w:r w:rsidR="00AA320A" w:rsidRPr="00314299">
        <w:rPr>
          <w:rFonts w:eastAsia="MS Mincho"/>
          <w:sz w:val="24"/>
          <w:szCs w:val="24"/>
        </w:rPr>
        <w:t xml:space="preserve">or </w:t>
      </w:r>
      <w:r w:rsidR="00AA320A" w:rsidRPr="00314299">
        <w:rPr>
          <w:rFonts w:eastAsia="MS Mincho"/>
          <w:strike/>
          <w:sz w:val="24"/>
          <w:szCs w:val="24"/>
        </w:rPr>
        <w:t>250</w:t>
      </w:r>
      <w:r w:rsidR="00AA320A" w:rsidRPr="00CA0864">
        <w:rPr>
          <w:rFonts w:eastAsia="MS Mincho"/>
          <w:sz w:val="24"/>
          <w:szCs w:val="24"/>
          <w:u w:val="single"/>
        </w:rPr>
        <w:t>100</w:t>
      </w:r>
      <w:r w:rsidR="00AA320A" w:rsidRPr="00314299">
        <w:rPr>
          <w:rFonts w:eastAsia="MS Mincho"/>
          <w:color w:val="FF0000"/>
          <w:sz w:val="24"/>
          <w:szCs w:val="24"/>
        </w:rPr>
        <w:t xml:space="preserve"> </w:t>
      </w:r>
      <w:r w:rsidR="00AA320A" w:rsidRPr="00314299">
        <w:rPr>
          <w:rFonts w:eastAsia="MS Mincho"/>
          <w:sz w:val="24"/>
          <w:szCs w:val="24"/>
        </w:rPr>
        <w:t>micrograms per square foot on window sills based on wipe samples.</w:t>
      </w:r>
    </w:p>
    <w:p w:rsidR="00314299" w:rsidRPr="00314299" w:rsidRDefault="00314299" w:rsidP="00CC2102">
      <w:pPr>
        <w:pStyle w:val="1"/>
        <w:tabs>
          <w:tab w:val="clear" w:pos="979"/>
          <w:tab w:val="clear" w:pos="1152"/>
          <w:tab w:val="clear" w:pos="4500"/>
          <w:tab w:val="clear" w:pos="4680"/>
          <w:tab w:val="clear" w:pos="4860"/>
          <w:tab w:val="clear" w:pos="5040"/>
          <w:tab w:val="clear" w:pos="7200"/>
        </w:tabs>
        <w:spacing w:after="0" w:line="480" w:lineRule="auto"/>
        <w:ind w:firstLine="0"/>
        <w:jc w:val="center"/>
        <w:rPr>
          <w:rFonts w:eastAsia="MS Mincho"/>
          <w:sz w:val="24"/>
          <w:szCs w:val="24"/>
        </w:rPr>
      </w:pPr>
      <w:r w:rsidRPr="00314299">
        <w:rPr>
          <w:rFonts w:eastAsia="MS Mincho"/>
          <w:sz w:val="24"/>
          <w:szCs w:val="24"/>
        </w:rPr>
        <w:t>* * *</w:t>
      </w:r>
    </w:p>
    <w:p w:rsidR="00AA320A" w:rsidRPr="00314299" w:rsidRDefault="00CC2102" w:rsidP="00CC2102">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jc w:val="left"/>
        <w:rPr>
          <w:sz w:val="24"/>
          <w:szCs w:val="24"/>
        </w:rPr>
      </w:pPr>
      <w:bookmarkStart w:id="10" w:name="_Toc382830481"/>
      <w:bookmarkStart w:id="11" w:name="TOC_Sect644"/>
      <w:r>
        <w:rPr>
          <w:sz w:val="24"/>
          <w:szCs w:val="24"/>
        </w:rPr>
        <w:t>AUTHORITY NOTE:</w:t>
      </w:r>
      <w:r>
        <w:rPr>
          <w:sz w:val="24"/>
          <w:szCs w:val="24"/>
        </w:rPr>
        <w:tab/>
      </w:r>
      <w:r w:rsidR="00AA320A" w:rsidRPr="00314299">
        <w:rPr>
          <w:sz w:val="24"/>
          <w:szCs w:val="24"/>
        </w:rPr>
        <w:t>Promulgated in accordance with R.S. 30:2054 and 2351 et seq.</w:t>
      </w:r>
    </w:p>
    <w:p w:rsidR="00AA320A" w:rsidRDefault="00CC2102" w:rsidP="00CC210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jc w:val="left"/>
        <w:rPr>
          <w:sz w:val="24"/>
          <w:szCs w:val="24"/>
        </w:rPr>
      </w:pPr>
      <w:r>
        <w:rPr>
          <w:sz w:val="24"/>
          <w:szCs w:val="24"/>
        </w:rPr>
        <w:t>HISTORICAL NOTE:</w:t>
      </w:r>
      <w:r>
        <w:rPr>
          <w:sz w:val="24"/>
          <w:szCs w:val="24"/>
        </w:rPr>
        <w:tab/>
      </w:r>
      <w:r w:rsidR="00AA320A" w:rsidRPr="00314299">
        <w:rPr>
          <w:sz w:val="24"/>
          <w:szCs w:val="24"/>
        </w:rPr>
        <w:t>Promulgated by the Department of Environmental Quality, Office of Air Quality and Radiation Protection, Air Quality Division, LR 23:1663 (December 1997), amended by the Office of Environmental Assessment, Environmental Planning Division, LR 28:2335 (November 2002), amended by the Office of Environmental Assessment, LR 30:2022 (September 2004), amended by the Office of the Secretary, Legal D</w:t>
      </w:r>
      <w:r>
        <w:rPr>
          <w:sz w:val="24"/>
          <w:szCs w:val="24"/>
        </w:rPr>
        <w:t>ivision, LR 39:1466 (June 2013), amended by the Office of the Secretary, Legal Affairs and Criminal Investigations Division, LR 47:</w:t>
      </w:r>
    </w:p>
    <w:p w:rsidR="00CC2102" w:rsidRPr="00314299" w:rsidRDefault="00CC2102" w:rsidP="00CC2102">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b/>
          <w:sz w:val="24"/>
          <w:szCs w:val="24"/>
        </w:rPr>
      </w:pPr>
    </w:p>
    <w:p w:rsidR="00AA320A" w:rsidRPr="00314299" w:rsidRDefault="00AA320A" w:rsidP="00CC2102">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sidRPr="00314299">
        <w:rPr>
          <w:b/>
          <w:sz w:val="24"/>
          <w:szCs w:val="24"/>
        </w:rPr>
        <w:t>§2811.</w:t>
      </w:r>
      <w:r w:rsidRPr="00314299">
        <w:rPr>
          <w:b/>
          <w:sz w:val="24"/>
          <w:szCs w:val="24"/>
        </w:rPr>
        <w:tab/>
        <w:t>Work Practice Standards for Conducting Lead-Based Paint Activities for Target Housing and Child-Occupied Facilities</w:t>
      </w:r>
      <w:bookmarkEnd w:id="10"/>
      <w:bookmarkEnd w:id="11"/>
    </w:p>
    <w:p w:rsidR="00AA320A" w:rsidRPr="00314299" w:rsidRDefault="00CC2102" w:rsidP="00CC2102">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sidR="00AA320A" w:rsidRPr="00314299">
        <w:rPr>
          <w:sz w:val="24"/>
          <w:szCs w:val="24"/>
        </w:rPr>
        <w:t>A.</w:t>
      </w:r>
      <w:r w:rsidR="00314299" w:rsidRPr="00314299">
        <w:rPr>
          <w:sz w:val="24"/>
          <w:szCs w:val="24"/>
        </w:rPr>
        <w:t xml:space="preserve"> </w:t>
      </w:r>
      <w:r>
        <w:rPr>
          <w:sz w:val="24"/>
          <w:szCs w:val="24"/>
        </w:rPr>
        <w:t>—</w:t>
      </w:r>
      <w:r w:rsidR="00D5587E">
        <w:rPr>
          <w:sz w:val="24"/>
          <w:szCs w:val="24"/>
        </w:rPr>
        <w:t xml:space="preserve"> A.3c</w:t>
      </w:r>
      <w:r w:rsidR="00314299" w:rsidRPr="00314299">
        <w:rPr>
          <w:sz w:val="24"/>
          <w:szCs w:val="24"/>
        </w:rPr>
        <w:t>.</w:t>
      </w:r>
      <w:r w:rsidR="00314299" w:rsidRPr="00314299">
        <w:rPr>
          <w:sz w:val="24"/>
          <w:szCs w:val="24"/>
        </w:rPr>
        <w:tab/>
        <w:t>…</w:t>
      </w:r>
    </w:p>
    <w:p w:rsidR="00AA320A" w:rsidRPr="00314299" w:rsidRDefault="00D5587E" w:rsidP="00D5587E">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eastAsia="MS Mincho"/>
          <w:sz w:val="24"/>
          <w:szCs w:val="24"/>
        </w:rPr>
      </w:pPr>
      <w:r>
        <w:rPr>
          <w:rFonts w:eastAsia="MS Mincho"/>
          <w:sz w:val="24"/>
          <w:szCs w:val="24"/>
        </w:rPr>
        <w:tab/>
      </w:r>
      <w:r>
        <w:rPr>
          <w:rFonts w:eastAsia="MS Mincho"/>
          <w:sz w:val="24"/>
          <w:szCs w:val="24"/>
        </w:rPr>
        <w:tab/>
      </w:r>
      <w:r>
        <w:rPr>
          <w:rFonts w:eastAsia="MS Mincho"/>
          <w:sz w:val="24"/>
          <w:szCs w:val="24"/>
        </w:rPr>
        <w:tab/>
      </w:r>
      <w:r>
        <w:rPr>
          <w:rFonts w:eastAsia="MS Mincho"/>
          <w:sz w:val="24"/>
          <w:szCs w:val="24"/>
        </w:rPr>
        <w:tab/>
      </w:r>
      <w:proofErr w:type="spellStart"/>
      <w:r w:rsidR="00AA320A" w:rsidRPr="00314299">
        <w:rPr>
          <w:rFonts w:eastAsia="MS Mincho"/>
          <w:sz w:val="24"/>
          <w:szCs w:val="24"/>
        </w:rPr>
        <w:t>i</w:t>
      </w:r>
      <w:proofErr w:type="spellEnd"/>
      <w:r w:rsidR="00AA320A" w:rsidRPr="00314299">
        <w:rPr>
          <w:rFonts w:eastAsia="MS Mincho"/>
          <w:sz w:val="24"/>
          <w:szCs w:val="24"/>
        </w:rPr>
        <w:t>.</w:t>
      </w:r>
      <w:r w:rsidR="00AA320A" w:rsidRPr="00314299">
        <w:rPr>
          <w:rFonts w:eastAsia="MS Mincho"/>
          <w:sz w:val="24"/>
          <w:szCs w:val="24"/>
        </w:rPr>
        <w:tab/>
        <w:t>in a residential dwelling or child-occupied facility</w:t>
      </w:r>
      <w:r w:rsidR="00AA320A" w:rsidRPr="00D5587E">
        <w:rPr>
          <w:rFonts w:eastAsia="MS Mincho"/>
          <w:strike/>
          <w:sz w:val="24"/>
          <w:szCs w:val="24"/>
        </w:rPr>
        <w:t xml:space="preserve"> </w:t>
      </w:r>
      <w:r w:rsidR="00AA320A" w:rsidRPr="00314299">
        <w:rPr>
          <w:rFonts w:eastAsia="MS Mincho"/>
          <w:strike/>
          <w:sz w:val="24"/>
          <w:szCs w:val="24"/>
        </w:rPr>
        <w:t>when in a residential dwelling</w:t>
      </w:r>
      <w:r w:rsidR="00AA320A" w:rsidRPr="00314299">
        <w:rPr>
          <w:rFonts w:eastAsia="MS Mincho"/>
          <w:sz w:val="24"/>
          <w:szCs w:val="24"/>
        </w:rPr>
        <w:t xml:space="preserve"> on floors and interior window sills where the weighted arithmetic mean lead loading for all single surface or composite samples of floors and interior window sills are </w:t>
      </w:r>
      <w:r w:rsidR="00AA320A" w:rsidRPr="00314299">
        <w:rPr>
          <w:rFonts w:eastAsia="MS Mincho"/>
          <w:strike/>
          <w:sz w:val="24"/>
          <w:szCs w:val="24"/>
        </w:rPr>
        <w:t>equal to or greater than</w:t>
      </w:r>
      <w:r w:rsidR="00AA320A" w:rsidRPr="00D5587E">
        <w:rPr>
          <w:rFonts w:eastAsia="MS Mincho"/>
          <w:strike/>
          <w:sz w:val="24"/>
          <w:szCs w:val="24"/>
        </w:rPr>
        <w:t xml:space="preserve"> </w:t>
      </w:r>
      <w:r w:rsidR="00AA320A" w:rsidRPr="00314299">
        <w:rPr>
          <w:rFonts w:eastAsia="MS Mincho"/>
          <w:strike/>
          <w:sz w:val="24"/>
          <w:szCs w:val="24"/>
        </w:rPr>
        <w:t>40</w:t>
      </w:r>
      <w:r w:rsidR="00AA320A" w:rsidRPr="00CA0864">
        <w:rPr>
          <w:rFonts w:eastAsia="MS Mincho"/>
          <w:sz w:val="24"/>
          <w:szCs w:val="24"/>
          <w:u w:val="single"/>
        </w:rPr>
        <w:t>10</w:t>
      </w:r>
      <w:r w:rsidR="00AA320A" w:rsidRPr="00314299">
        <w:rPr>
          <w:rFonts w:eastAsia="MS Mincho"/>
          <w:color w:val="FF0000"/>
          <w:sz w:val="24"/>
          <w:szCs w:val="24"/>
        </w:rPr>
        <w:t xml:space="preserve"> </w:t>
      </w:r>
      <w:r w:rsidR="00AA320A" w:rsidRPr="00314299">
        <w:rPr>
          <w:rFonts w:eastAsia="MS Mincho"/>
          <w:sz w:val="24"/>
          <w:szCs w:val="24"/>
        </w:rPr>
        <w:t xml:space="preserve">micrograms per square foot </w:t>
      </w:r>
      <w:r w:rsidR="00AA320A" w:rsidRPr="00314299">
        <w:rPr>
          <w:rFonts w:eastAsia="MS Mincho"/>
          <w:sz w:val="24"/>
          <w:szCs w:val="24"/>
          <w:u w:val="single"/>
        </w:rPr>
        <w:t>or greater</w:t>
      </w:r>
      <w:r w:rsidR="00AA320A" w:rsidRPr="00CC2102">
        <w:rPr>
          <w:rFonts w:eastAsia="MS Mincho"/>
          <w:sz w:val="24"/>
          <w:szCs w:val="24"/>
          <w:u w:val="single"/>
        </w:rPr>
        <w:t xml:space="preserve"> </w:t>
      </w:r>
      <w:r w:rsidR="00AA320A" w:rsidRPr="00314299">
        <w:rPr>
          <w:rFonts w:eastAsia="MS Mincho"/>
          <w:sz w:val="24"/>
          <w:szCs w:val="24"/>
        </w:rPr>
        <w:t xml:space="preserve">for floors and </w:t>
      </w:r>
      <w:r w:rsidR="00AA320A" w:rsidRPr="00314299">
        <w:rPr>
          <w:rFonts w:eastAsia="MS Mincho"/>
          <w:strike/>
          <w:sz w:val="24"/>
          <w:szCs w:val="24"/>
        </w:rPr>
        <w:t>250</w:t>
      </w:r>
      <w:r w:rsidR="00AA320A" w:rsidRPr="00CA0864">
        <w:rPr>
          <w:rFonts w:eastAsia="MS Mincho"/>
          <w:sz w:val="24"/>
          <w:szCs w:val="24"/>
          <w:u w:val="single"/>
        </w:rPr>
        <w:t>100</w:t>
      </w:r>
      <w:r w:rsidR="00AA320A" w:rsidRPr="00314299">
        <w:rPr>
          <w:rFonts w:eastAsia="MS Mincho"/>
          <w:color w:val="FF0000"/>
          <w:sz w:val="24"/>
          <w:szCs w:val="24"/>
        </w:rPr>
        <w:t xml:space="preserve"> </w:t>
      </w:r>
      <w:r w:rsidR="00AA320A" w:rsidRPr="00314299">
        <w:rPr>
          <w:rFonts w:eastAsia="MS Mincho"/>
          <w:sz w:val="24"/>
          <w:szCs w:val="24"/>
        </w:rPr>
        <w:t>micrograms per square foot</w:t>
      </w:r>
      <w:r w:rsidR="00AA320A" w:rsidRPr="00D5587E">
        <w:rPr>
          <w:rFonts w:eastAsia="MS Mincho"/>
          <w:sz w:val="24"/>
          <w:szCs w:val="24"/>
          <w:u w:val="single"/>
        </w:rPr>
        <w:t xml:space="preserve"> </w:t>
      </w:r>
      <w:r w:rsidR="00AA320A" w:rsidRPr="00314299">
        <w:rPr>
          <w:rFonts w:eastAsia="MS Mincho"/>
          <w:sz w:val="24"/>
          <w:szCs w:val="24"/>
          <w:u w:val="single"/>
        </w:rPr>
        <w:t>or greater</w:t>
      </w:r>
      <w:r w:rsidR="00AA320A" w:rsidRPr="00314299">
        <w:rPr>
          <w:rFonts w:eastAsia="MS Mincho"/>
          <w:sz w:val="24"/>
          <w:szCs w:val="24"/>
        </w:rPr>
        <w:t xml:space="preserve"> for interior window sills, respectively;</w:t>
      </w:r>
    </w:p>
    <w:p w:rsidR="00AA320A" w:rsidRPr="00314299" w:rsidRDefault="00CC2102" w:rsidP="00CC2102">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proofErr w:type="gramStart"/>
      <w:r w:rsidR="00314299" w:rsidRPr="00314299">
        <w:rPr>
          <w:sz w:val="24"/>
          <w:szCs w:val="24"/>
        </w:rPr>
        <w:t>A.3.c.ii.</w:t>
      </w:r>
      <w:proofErr w:type="gramEnd"/>
      <w:r w:rsidR="00314299" w:rsidRPr="00314299">
        <w:rPr>
          <w:sz w:val="24"/>
          <w:szCs w:val="24"/>
        </w:rPr>
        <w:t xml:space="preserve"> </w:t>
      </w:r>
      <w:r>
        <w:rPr>
          <w:sz w:val="24"/>
          <w:szCs w:val="24"/>
        </w:rPr>
        <w:t>—</w:t>
      </w:r>
      <w:r w:rsidR="00314299" w:rsidRPr="00314299">
        <w:rPr>
          <w:sz w:val="24"/>
          <w:szCs w:val="24"/>
        </w:rPr>
        <w:t xml:space="preserve"> </w:t>
      </w:r>
      <w:proofErr w:type="gramStart"/>
      <w:r w:rsidR="00314299" w:rsidRPr="00314299">
        <w:rPr>
          <w:sz w:val="24"/>
          <w:szCs w:val="24"/>
        </w:rPr>
        <w:t>A.3.d.ii.</w:t>
      </w:r>
      <w:proofErr w:type="gramEnd"/>
      <w:r w:rsidR="00314299" w:rsidRPr="00314299">
        <w:rPr>
          <w:sz w:val="24"/>
          <w:szCs w:val="24"/>
        </w:rPr>
        <w:tab/>
        <w:t>…</w:t>
      </w:r>
    </w:p>
    <w:p w:rsidR="00AA320A" w:rsidRPr="00314299" w:rsidRDefault="00CC2102" w:rsidP="00CC2102">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lastRenderedPageBreak/>
        <w:tab/>
      </w:r>
      <w:r>
        <w:rPr>
          <w:sz w:val="24"/>
          <w:szCs w:val="24"/>
        </w:rPr>
        <w:tab/>
      </w:r>
      <w:r w:rsidR="00AA320A" w:rsidRPr="00314299">
        <w:rPr>
          <w:sz w:val="24"/>
          <w:szCs w:val="24"/>
        </w:rPr>
        <w:t>4.</w:t>
      </w:r>
      <w:r w:rsidR="00AA320A" w:rsidRPr="00314299">
        <w:rPr>
          <w:sz w:val="24"/>
          <w:szCs w:val="24"/>
        </w:rPr>
        <w:tab/>
        <w:t>Clearance levels that are appropriate for the purposes of this Section are listed as follows:</w:t>
      </w:r>
    </w:p>
    <w:p w:rsidR="00AA320A" w:rsidRPr="00314299" w:rsidRDefault="00CC2102" w:rsidP="00CC2102">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AA320A" w:rsidRPr="00314299">
        <w:rPr>
          <w:sz w:val="24"/>
          <w:szCs w:val="24"/>
        </w:rPr>
        <w:t>a.</w:t>
      </w:r>
      <w:r w:rsidR="00AA320A" w:rsidRPr="00314299">
        <w:rPr>
          <w:sz w:val="24"/>
          <w:szCs w:val="24"/>
        </w:rPr>
        <w:tab/>
        <w:t xml:space="preserve">dust wipes from floors/carpets: </w:t>
      </w:r>
      <w:r w:rsidR="00AA320A" w:rsidRPr="00314299">
        <w:rPr>
          <w:sz w:val="24"/>
          <w:szCs w:val="24"/>
          <w:u w:val="single"/>
        </w:rPr>
        <w:t>less than</w:t>
      </w:r>
      <w:r w:rsidR="00AA320A" w:rsidRPr="00CC2102">
        <w:rPr>
          <w:sz w:val="24"/>
          <w:szCs w:val="24"/>
          <w:u w:val="single"/>
        </w:rPr>
        <w:t xml:space="preserve"> </w:t>
      </w:r>
      <w:r w:rsidR="00AA320A" w:rsidRPr="00314299">
        <w:rPr>
          <w:strike/>
          <w:sz w:val="24"/>
          <w:szCs w:val="24"/>
        </w:rPr>
        <w:t>40</w:t>
      </w:r>
      <w:r w:rsidR="00AA320A" w:rsidRPr="00CA0864">
        <w:rPr>
          <w:sz w:val="24"/>
          <w:szCs w:val="24"/>
          <w:u w:val="single"/>
        </w:rPr>
        <w:t>10</w:t>
      </w:r>
      <w:r w:rsidR="00AA320A" w:rsidRPr="00314299">
        <w:rPr>
          <w:color w:val="FF0000"/>
          <w:sz w:val="24"/>
          <w:szCs w:val="24"/>
        </w:rPr>
        <w:t xml:space="preserve"> </w:t>
      </w:r>
      <w:r w:rsidR="00AA320A" w:rsidRPr="00314299">
        <w:rPr>
          <w:sz w:val="24"/>
          <w:szCs w:val="24"/>
        </w:rPr>
        <w:t>micrograms per square foot;</w:t>
      </w:r>
    </w:p>
    <w:p w:rsidR="00AA320A" w:rsidRPr="00314299" w:rsidRDefault="00CC2102" w:rsidP="00CC2102">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AA320A" w:rsidRPr="00314299">
        <w:rPr>
          <w:sz w:val="24"/>
          <w:szCs w:val="24"/>
        </w:rPr>
        <w:t>b.</w:t>
      </w:r>
      <w:r w:rsidR="00AA320A" w:rsidRPr="00314299">
        <w:rPr>
          <w:sz w:val="24"/>
          <w:szCs w:val="24"/>
        </w:rPr>
        <w:tab/>
        <w:t xml:space="preserve">dust wipes on window sills: </w:t>
      </w:r>
      <w:r w:rsidR="00AA320A" w:rsidRPr="00314299">
        <w:rPr>
          <w:sz w:val="24"/>
          <w:szCs w:val="24"/>
          <w:u w:val="single"/>
        </w:rPr>
        <w:t>less than</w:t>
      </w:r>
      <w:r w:rsidR="00AA320A" w:rsidRPr="00CC2102">
        <w:rPr>
          <w:sz w:val="24"/>
          <w:szCs w:val="24"/>
          <w:u w:val="single"/>
        </w:rPr>
        <w:t xml:space="preserve"> </w:t>
      </w:r>
      <w:r w:rsidR="00AA320A" w:rsidRPr="00314299">
        <w:rPr>
          <w:strike/>
          <w:sz w:val="24"/>
          <w:szCs w:val="24"/>
        </w:rPr>
        <w:t>250</w:t>
      </w:r>
      <w:r w:rsidR="00AA320A" w:rsidRPr="00CA0864">
        <w:rPr>
          <w:sz w:val="24"/>
          <w:szCs w:val="24"/>
          <w:u w:val="single"/>
        </w:rPr>
        <w:t>100</w:t>
      </w:r>
      <w:r w:rsidR="00AA320A" w:rsidRPr="00314299">
        <w:rPr>
          <w:b/>
          <w:sz w:val="24"/>
          <w:szCs w:val="24"/>
        </w:rPr>
        <w:t xml:space="preserve"> </w:t>
      </w:r>
      <w:r w:rsidR="00AA320A" w:rsidRPr="00314299">
        <w:rPr>
          <w:sz w:val="24"/>
          <w:szCs w:val="24"/>
        </w:rPr>
        <w:t>micrograms per square foot;</w:t>
      </w:r>
    </w:p>
    <w:p w:rsidR="00AA320A" w:rsidRPr="00314299" w:rsidRDefault="00CC2102" w:rsidP="00CC2102">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AA320A" w:rsidRPr="00314299">
        <w:rPr>
          <w:sz w:val="24"/>
          <w:szCs w:val="24"/>
        </w:rPr>
        <w:t>c.</w:t>
      </w:r>
      <w:r w:rsidR="00AA320A" w:rsidRPr="00314299">
        <w:rPr>
          <w:sz w:val="24"/>
          <w:szCs w:val="24"/>
        </w:rPr>
        <w:tab/>
        <w:t xml:space="preserve">dust wipes on window troughs: </w:t>
      </w:r>
      <w:r w:rsidR="00AA320A" w:rsidRPr="00314299">
        <w:rPr>
          <w:sz w:val="24"/>
          <w:szCs w:val="24"/>
          <w:u w:val="single"/>
        </w:rPr>
        <w:t>less than</w:t>
      </w:r>
      <w:r w:rsidR="00AA320A" w:rsidRPr="00CC2102">
        <w:rPr>
          <w:sz w:val="24"/>
          <w:szCs w:val="24"/>
          <w:u w:val="single"/>
        </w:rPr>
        <w:t xml:space="preserve"> </w:t>
      </w:r>
      <w:r w:rsidR="00711B47">
        <w:rPr>
          <w:sz w:val="24"/>
          <w:szCs w:val="24"/>
        </w:rPr>
        <w:t xml:space="preserve">400 </w:t>
      </w:r>
      <w:r w:rsidR="00AA320A" w:rsidRPr="00314299">
        <w:rPr>
          <w:sz w:val="24"/>
          <w:szCs w:val="24"/>
        </w:rPr>
        <w:t>micrograms per square foot;</w:t>
      </w:r>
    </w:p>
    <w:p w:rsidR="00AA320A" w:rsidRPr="00314299" w:rsidRDefault="00CC2102" w:rsidP="00CC2102">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AA320A" w:rsidRPr="00314299">
        <w:rPr>
          <w:sz w:val="24"/>
          <w:szCs w:val="24"/>
        </w:rPr>
        <w:t>d.</w:t>
      </w:r>
      <w:r w:rsidR="00AA320A" w:rsidRPr="00314299">
        <w:rPr>
          <w:sz w:val="24"/>
          <w:szCs w:val="24"/>
        </w:rPr>
        <w:tab/>
        <w:t xml:space="preserve">dust wipes from exterior surfaces: </w:t>
      </w:r>
      <w:r w:rsidR="00AA320A" w:rsidRPr="00314299">
        <w:rPr>
          <w:sz w:val="24"/>
          <w:szCs w:val="24"/>
          <w:u w:val="single"/>
        </w:rPr>
        <w:t>less than</w:t>
      </w:r>
      <w:r w:rsidR="00AA320A" w:rsidRPr="00CC2102">
        <w:rPr>
          <w:sz w:val="24"/>
          <w:szCs w:val="24"/>
          <w:u w:val="single"/>
        </w:rPr>
        <w:t xml:space="preserve"> </w:t>
      </w:r>
      <w:r>
        <w:rPr>
          <w:sz w:val="24"/>
          <w:szCs w:val="24"/>
        </w:rPr>
        <w:t>400 micrograms per square foot;</w:t>
      </w:r>
    </w:p>
    <w:p w:rsidR="00314299" w:rsidRPr="00314299" w:rsidRDefault="00CC2102" w:rsidP="00CC2102">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sidR="00314299" w:rsidRPr="00314299">
        <w:rPr>
          <w:sz w:val="24"/>
          <w:szCs w:val="24"/>
        </w:rPr>
        <w:t xml:space="preserve">A.4.e. </w:t>
      </w:r>
      <w:r>
        <w:rPr>
          <w:sz w:val="24"/>
          <w:szCs w:val="24"/>
        </w:rPr>
        <w:t>—</w:t>
      </w:r>
      <w:r w:rsidR="00314299" w:rsidRPr="00314299">
        <w:rPr>
          <w:sz w:val="24"/>
          <w:szCs w:val="24"/>
        </w:rPr>
        <w:t xml:space="preserve"> F.1.</w:t>
      </w:r>
      <w:r w:rsidR="00314299" w:rsidRPr="00314299">
        <w:rPr>
          <w:sz w:val="24"/>
          <w:szCs w:val="24"/>
        </w:rPr>
        <w:tab/>
        <w:t>…</w:t>
      </w:r>
    </w:p>
    <w:p w:rsidR="00AA320A" w:rsidRPr="00314299" w:rsidRDefault="00AA320A" w:rsidP="00CC2102">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jc w:val="left"/>
        <w:rPr>
          <w:sz w:val="24"/>
          <w:szCs w:val="24"/>
        </w:rPr>
      </w:pPr>
      <w:r w:rsidRPr="00314299">
        <w:rPr>
          <w:sz w:val="24"/>
          <w:szCs w:val="24"/>
        </w:rPr>
        <w:t>AUTHORITY NOTE:</w:t>
      </w:r>
      <w:r w:rsidRPr="00314299">
        <w:rPr>
          <w:sz w:val="24"/>
          <w:szCs w:val="24"/>
        </w:rPr>
        <w:tab/>
        <w:t>Promulgated in accordance with R.S. 30:2054 and 2351 et seq.</w:t>
      </w:r>
    </w:p>
    <w:p w:rsidR="00AA320A" w:rsidRPr="00314299" w:rsidRDefault="00AA320A" w:rsidP="00CC210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jc w:val="left"/>
        <w:rPr>
          <w:szCs w:val="24"/>
        </w:rPr>
      </w:pPr>
      <w:r w:rsidRPr="00314299">
        <w:rPr>
          <w:sz w:val="24"/>
          <w:szCs w:val="24"/>
        </w:rPr>
        <w:t>HISTORICAL NOTE:</w:t>
      </w:r>
      <w:r w:rsidRPr="00314299">
        <w:rPr>
          <w:sz w:val="24"/>
          <w:szCs w:val="24"/>
        </w:rPr>
        <w:tab/>
        <w:t>Promulgated by the Department of Environmental Quality, Office of Air Quality and Radiation Protection, Air Quality Division, LR 23:1672 (December 1997), amended by the Office of Environmental Assessment, Environmental Planning Division, LR 26:2459 (November 2000), repromulgated LR 27:39 (January 2001), amended LR 28:2338 (November 2002), amended by the Office of the Secretary, Legal Affairs Division, LR 31:2446 (October 2005), LR 33:644 (April 2007), LR 33:2092 (October 2007), amended by the Office of the Secretary, Legal D</w:t>
      </w:r>
      <w:r w:rsidR="00CC2102">
        <w:rPr>
          <w:sz w:val="24"/>
          <w:szCs w:val="24"/>
        </w:rPr>
        <w:t>ivision, LR 39:1467 (June 2013), amended by the Office of the Secretary, Legal Affairs and Criminal Investigations Division, LR 47:</w:t>
      </w:r>
    </w:p>
    <w:sectPr w:rsidR="00AA320A" w:rsidRPr="00314299" w:rsidSect="005660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54" w:rsidRDefault="006F5054" w:rsidP="006F5054">
      <w:r>
        <w:separator/>
      </w:r>
    </w:p>
  </w:endnote>
  <w:endnote w:type="continuationSeparator" w:id="0">
    <w:p w:rsidR="006F5054" w:rsidRDefault="006F5054" w:rsidP="006F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54" w:rsidRDefault="006F5054" w:rsidP="006F5054">
      <w:r>
        <w:separator/>
      </w:r>
    </w:p>
  </w:footnote>
  <w:footnote w:type="continuationSeparator" w:id="0">
    <w:p w:rsidR="006F5054" w:rsidRDefault="006F5054" w:rsidP="006F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54" w:rsidRDefault="006F5054">
    <w:pPr>
      <w:pStyle w:val="Header"/>
    </w:pPr>
    <w:r>
      <w:t>Proposed April 20, 2021</w:t>
    </w:r>
    <w:r>
      <w:tab/>
    </w:r>
    <w:r>
      <w:tab/>
      <w:t>AQ390ft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A7DC7"/>
    <w:multiLevelType w:val="hybridMultilevel"/>
    <w:tmpl w:val="52AE4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40934"/>
    <w:multiLevelType w:val="hybridMultilevel"/>
    <w:tmpl w:val="5FD4E3B8"/>
    <w:lvl w:ilvl="0" w:tplc="4F9C7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A"/>
    <w:rsid w:val="001949B0"/>
    <w:rsid w:val="002C7ACD"/>
    <w:rsid w:val="00314299"/>
    <w:rsid w:val="005131E2"/>
    <w:rsid w:val="005238A1"/>
    <w:rsid w:val="005660DC"/>
    <w:rsid w:val="00617BE3"/>
    <w:rsid w:val="0062331B"/>
    <w:rsid w:val="006D10B9"/>
    <w:rsid w:val="006F5054"/>
    <w:rsid w:val="00711B47"/>
    <w:rsid w:val="008116A6"/>
    <w:rsid w:val="008315BD"/>
    <w:rsid w:val="00AA320A"/>
    <w:rsid w:val="00BF1E2C"/>
    <w:rsid w:val="00CA0864"/>
    <w:rsid w:val="00CC2102"/>
    <w:rsid w:val="00D5587E"/>
    <w:rsid w:val="00E143DA"/>
    <w:rsid w:val="00F5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E0D39C"/>
  <w15:docId w15:val="{8FB20EDD-5E09-47EE-89EE-F2EB62E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0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Title2"/>
    <w:rsid w:val="00AA320A"/>
    <w:pPr>
      <w:pageBreakBefore/>
      <w:spacing w:after="60"/>
      <w:contextualSpacing w:val="0"/>
      <w:jc w:val="center"/>
    </w:pPr>
    <w:rPr>
      <w:rFonts w:ascii="Times New Roman" w:eastAsia="Times New Roman" w:hAnsi="Times New Roman" w:cs="Times New Roman"/>
      <w:b/>
      <w:spacing w:val="0"/>
      <w:sz w:val="28"/>
      <w:szCs w:val="20"/>
    </w:rPr>
  </w:style>
  <w:style w:type="paragraph" w:customStyle="1" w:styleId="Title2">
    <w:name w:val="Title2"/>
    <w:basedOn w:val="Normal"/>
    <w:rsid w:val="00AA320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pPr>
    <w:rPr>
      <w:b/>
      <w:caps/>
      <w:kern w:val="2"/>
      <w:sz w:val="28"/>
    </w:rPr>
  </w:style>
  <w:style w:type="paragraph" w:styleId="Title">
    <w:name w:val="Title"/>
    <w:basedOn w:val="Normal"/>
    <w:next w:val="Normal"/>
    <w:link w:val="TitleChar"/>
    <w:uiPriority w:val="10"/>
    <w:qFormat/>
    <w:rsid w:val="00AA32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0A"/>
    <w:rPr>
      <w:rFonts w:asciiTheme="majorHAnsi" w:eastAsiaTheme="majorEastAsia" w:hAnsiTheme="majorHAnsi" w:cstheme="majorBidi"/>
      <w:spacing w:val="-10"/>
      <w:kern w:val="28"/>
      <w:sz w:val="56"/>
      <w:szCs w:val="56"/>
    </w:rPr>
  </w:style>
  <w:style w:type="paragraph" w:customStyle="1" w:styleId="Chapter">
    <w:name w:val="Chapter"/>
    <w:basedOn w:val="Normal"/>
    <w:link w:val="ChapterChar"/>
    <w:rsid w:val="00AA320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AA320A"/>
    <w:rPr>
      <w:rFonts w:ascii="Times New Roman" w:eastAsia="Times New Roman" w:hAnsi="Times New Roman" w:cs="Times New Roman"/>
      <w:b/>
      <w:kern w:val="2"/>
      <w:sz w:val="28"/>
      <w:szCs w:val="20"/>
    </w:rPr>
  </w:style>
  <w:style w:type="paragraph" w:styleId="ListParagraph">
    <w:name w:val="List Paragraph"/>
    <w:basedOn w:val="Normal"/>
    <w:uiPriority w:val="34"/>
    <w:qFormat/>
    <w:rsid w:val="00AA320A"/>
    <w:pPr>
      <w:ind w:left="720"/>
      <w:contextualSpacing/>
    </w:pPr>
  </w:style>
  <w:style w:type="paragraph" w:customStyle="1" w:styleId="1">
    <w:name w:val="1."/>
    <w:basedOn w:val="Normal"/>
    <w:link w:val="1Char"/>
    <w:rsid w:val="00AA320A"/>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rPr>
  </w:style>
  <w:style w:type="character" w:customStyle="1" w:styleId="1Char">
    <w:name w:val="1. Char"/>
    <w:link w:val="1"/>
    <w:rsid w:val="00AA320A"/>
    <w:rPr>
      <w:rFonts w:ascii="Times New Roman" w:eastAsia="Times New Roman" w:hAnsi="Times New Roman" w:cs="Times New Roman"/>
      <w:kern w:val="2"/>
      <w:sz w:val="20"/>
      <w:szCs w:val="20"/>
    </w:rPr>
  </w:style>
  <w:style w:type="paragraph" w:customStyle="1" w:styleId="A">
    <w:name w:val="A."/>
    <w:basedOn w:val="Normal"/>
    <w:link w:val="AChar"/>
    <w:rsid w:val="00AA320A"/>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character" w:customStyle="1" w:styleId="AChar">
    <w:name w:val="A. Char"/>
    <w:link w:val="A"/>
    <w:rsid w:val="00AA320A"/>
    <w:rPr>
      <w:rFonts w:ascii="Times New Roman" w:eastAsia="Times New Roman" w:hAnsi="Times New Roman" w:cs="Times New Roman"/>
      <w:kern w:val="2"/>
      <w:sz w:val="20"/>
      <w:szCs w:val="20"/>
    </w:rPr>
  </w:style>
  <w:style w:type="paragraph" w:customStyle="1" w:styleId="a0">
    <w:name w:val="a."/>
    <w:basedOn w:val="Normal"/>
    <w:link w:val="aChar0"/>
    <w:rsid w:val="00AA320A"/>
    <w:pPr>
      <w:tabs>
        <w:tab w:val="left" w:pos="907"/>
        <w:tab w:val="left" w:pos="4500"/>
        <w:tab w:val="left" w:pos="4680"/>
        <w:tab w:val="left" w:pos="4860"/>
        <w:tab w:val="left" w:pos="5040"/>
        <w:tab w:val="left" w:pos="7200"/>
      </w:tabs>
      <w:spacing w:after="120"/>
      <w:ind w:firstLine="547"/>
      <w:jc w:val="both"/>
      <w:outlineLvl w:val="5"/>
    </w:pPr>
    <w:rPr>
      <w:kern w:val="2"/>
      <w:sz w:val="20"/>
    </w:rPr>
  </w:style>
  <w:style w:type="paragraph" w:customStyle="1" w:styleId="i">
    <w:name w:val="i."/>
    <w:basedOn w:val="Normal"/>
    <w:rsid w:val="00AA320A"/>
    <w:pPr>
      <w:tabs>
        <w:tab w:val="decimal" w:pos="720"/>
        <w:tab w:val="left" w:pos="1080"/>
        <w:tab w:val="left" w:pos="4500"/>
        <w:tab w:val="left" w:pos="4680"/>
        <w:tab w:val="left" w:pos="4860"/>
        <w:tab w:val="left" w:pos="5040"/>
        <w:tab w:val="left" w:pos="7200"/>
      </w:tabs>
      <w:spacing w:after="120"/>
      <w:jc w:val="both"/>
      <w:outlineLvl w:val="5"/>
    </w:pPr>
    <w:rPr>
      <w:kern w:val="2"/>
      <w:sz w:val="20"/>
    </w:rPr>
  </w:style>
  <w:style w:type="character" w:customStyle="1" w:styleId="aChar0">
    <w:name w:val="a. Char"/>
    <w:link w:val="a0"/>
    <w:locked/>
    <w:rsid w:val="00AA320A"/>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AA32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AA32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link w:val="HistoricalNote"/>
    <w:rsid w:val="00AA320A"/>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AA320A"/>
    <w:rPr>
      <w:rFonts w:ascii="Times New Roman" w:eastAsia="Times New Roman" w:hAnsi="Times New Roman" w:cs="Times New Roman"/>
      <w:kern w:val="2"/>
      <w:sz w:val="18"/>
      <w:szCs w:val="20"/>
    </w:rPr>
  </w:style>
  <w:style w:type="character" w:styleId="Hyperlink">
    <w:name w:val="Hyperlink"/>
    <w:rsid w:val="008315BD"/>
    <w:rPr>
      <w:color w:val="0000FF"/>
      <w:u w:val="single"/>
    </w:rPr>
  </w:style>
  <w:style w:type="paragraph" w:styleId="Header">
    <w:name w:val="header"/>
    <w:basedOn w:val="Normal"/>
    <w:link w:val="HeaderChar"/>
    <w:uiPriority w:val="99"/>
    <w:unhideWhenUsed/>
    <w:rsid w:val="006F5054"/>
    <w:pPr>
      <w:tabs>
        <w:tab w:val="center" w:pos="4680"/>
        <w:tab w:val="right" w:pos="9360"/>
      </w:tabs>
    </w:pPr>
  </w:style>
  <w:style w:type="character" w:customStyle="1" w:styleId="HeaderChar">
    <w:name w:val="Header Char"/>
    <w:basedOn w:val="DefaultParagraphFont"/>
    <w:link w:val="Header"/>
    <w:uiPriority w:val="99"/>
    <w:rsid w:val="006F505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5054"/>
    <w:pPr>
      <w:tabs>
        <w:tab w:val="center" w:pos="4680"/>
        <w:tab w:val="right" w:pos="9360"/>
      </w:tabs>
    </w:pPr>
  </w:style>
  <w:style w:type="character" w:customStyle="1" w:styleId="FooterChar">
    <w:name w:val="Footer Char"/>
    <w:basedOn w:val="DefaultParagraphFont"/>
    <w:link w:val="Footer"/>
    <w:uiPriority w:val="99"/>
    <w:rsid w:val="006F50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Almond</dc:creator>
  <cp:lastModifiedBy>Laura Almond</cp:lastModifiedBy>
  <cp:revision>2</cp:revision>
  <dcterms:created xsi:type="dcterms:W3CDTF">2021-04-08T13:21:00Z</dcterms:created>
  <dcterms:modified xsi:type="dcterms:W3CDTF">2021-04-08T13:21:00Z</dcterms:modified>
</cp:coreProperties>
</file>