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2E" w:rsidRDefault="007C022E" w:rsidP="007C022E">
      <w:pPr>
        <w:autoSpaceDE/>
        <w:autoSpaceDN/>
        <w:jc w:val="center"/>
        <w:rPr>
          <w:rFonts w:ascii="Times New Roman" w:eastAsiaTheme="minorHAnsi" w:hAnsi="Times New Roman"/>
          <w:b/>
          <w:szCs w:val="24"/>
        </w:rPr>
      </w:pP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Title 33</w:t>
      </w: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ENVIRONMENTAL QUALITY</w:t>
      </w: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Part VI.  Inactive and Abandoned Hazardous Waste and Hazardous Substances Site Remediation</w:t>
      </w:r>
    </w:p>
    <w:p w:rsidR="007C022E" w:rsidRPr="007C022E" w:rsidRDefault="007C022E" w:rsidP="007C022E">
      <w:pPr>
        <w:autoSpaceDE/>
        <w:autoSpaceDN/>
        <w:jc w:val="center"/>
        <w:rPr>
          <w:rFonts w:ascii="Times New Roman" w:eastAsiaTheme="minorHAnsi" w:hAnsi="Times New Roman"/>
          <w:b/>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Chapter 11.</w:t>
      </w:r>
      <w:r w:rsidRPr="007C022E">
        <w:rPr>
          <w:rFonts w:ascii="Times New Roman" w:eastAsiaTheme="minorHAnsi" w:hAnsi="Times New Roman"/>
          <w:b/>
          <w:szCs w:val="24"/>
        </w:rPr>
        <w:tab/>
        <w:t>Brownfields Cleanup Revolving Loan Fund Program</w:t>
      </w:r>
    </w:p>
    <w:p w:rsidR="007C022E" w:rsidRPr="007C022E" w:rsidRDefault="007C022E" w:rsidP="007C022E">
      <w:pPr>
        <w:tabs>
          <w:tab w:val="left" w:pos="81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§1103.</w:t>
      </w:r>
      <w:r w:rsidRPr="007C022E">
        <w:rPr>
          <w:rFonts w:ascii="Times New Roman" w:eastAsiaTheme="minorHAnsi" w:hAnsi="Times New Roman"/>
          <w:b/>
          <w:szCs w:val="24"/>
        </w:rPr>
        <w:tab/>
        <w:t>Authority</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u w:val="single"/>
        </w:rPr>
        <w:t>C.</w:t>
      </w:r>
      <w:r w:rsidRPr="007C022E">
        <w:rPr>
          <w:rFonts w:ascii="Times New Roman" w:eastAsiaTheme="minorHAnsi" w:hAnsi="Times New Roman"/>
          <w:szCs w:val="24"/>
          <w:u w:val="single"/>
        </w:rPr>
        <w:tab/>
        <w:t xml:space="preserve">Act 612 of the 2018 Regular Session of the Louisiana Legislature amended R.S. 30:2552 to repeal the Brownfields Cleanup Revolving Loan Fund Program, effective July 1, 2020. </w:t>
      </w:r>
      <w:proofErr w:type="gramStart"/>
      <w:r w:rsidRPr="007C022E">
        <w:rPr>
          <w:rFonts w:ascii="Times New Roman" w:eastAsiaTheme="minorHAnsi" w:hAnsi="Times New Roman"/>
          <w:szCs w:val="24"/>
          <w:u w:val="single"/>
        </w:rPr>
        <w:t>However,  Act</w:t>
      </w:r>
      <w:proofErr w:type="gramEnd"/>
      <w:r w:rsidRPr="007C022E">
        <w:rPr>
          <w:rFonts w:ascii="Times New Roman" w:eastAsiaTheme="minorHAnsi" w:hAnsi="Times New Roman"/>
          <w:szCs w:val="24"/>
          <w:u w:val="single"/>
        </w:rPr>
        <w:t xml:space="preserve"> 91 of the 2020 Regular Session of the Louisiana Legislature repealed the provisions of Act 612 on June 5, 2020, prior to the effective date of Act 612. As such, the Brownfields Cleanup Revolving Loan Fund Program was reinstated.</w:t>
      </w:r>
    </w:p>
    <w:p w:rsidR="007C022E" w:rsidRPr="007C022E" w:rsidRDefault="007C022E" w:rsidP="007C022E">
      <w:pPr>
        <w:tabs>
          <w:tab w:val="left" w:pos="288"/>
        </w:tabs>
        <w:autoSpaceDE/>
        <w:autoSpaceDN/>
        <w:rPr>
          <w:rFonts w:ascii="Times New Roman" w:eastAsiaTheme="minorHAnsi" w:hAnsi="Times New Roman"/>
          <w:szCs w:val="24"/>
          <w:u w:val="single"/>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Promulgated in accordance with R.S. 30:2001 et seq. and in particular R.S. 30:2551-2552.</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31:2217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b/>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§1107.</w:t>
      </w:r>
      <w:r w:rsidRPr="007C022E">
        <w:rPr>
          <w:rFonts w:ascii="Times New Roman" w:eastAsiaTheme="minorHAnsi" w:hAnsi="Times New Roman"/>
          <w:b/>
          <w:szCs w:val="24"/>
        </w:rPr>
        <w:tab/>
        <w:t>Eligibility for Participation in the Program</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2.</w:t>
      </w:r>
      <w:r w:rsidRPr="007C022E">
        <w:rPr>
          <w:rFonts w:ascii="Times New Roman" w:eastAsiaTheme="minorHAnsi" w:hAnsi="Times New Roman"/>
          <w:szCs w:val="24"/>
        </w:rPr>
        <w:tab/>
      </w:r>
      <w:r w:rsidRPr="007C022E">
        <w:rPr>
          <w:rFonts w:ascii="Times New Roman" w:eastAsiaTheme="minorHAnsi" w:hAnsi="Times New Roman"/>
          <w:strike/>
          <w:szCs w:val="24"/>
        </w:rPr>
        <w:t xml:space="preserve">The site must be eligible for participation in the Louisiana Voluntary Remediation Program as provided </w:t>
      </w:r>
      <w:proofErr w:type="spellStart"/>
      <w:r w:rsidRPr="007C022E">
        <w:rPr>
          <w:rFonts w:ascii="Times New Roman" w:eastAsiaTheme="minorHAnsi" w:hAnsi="Times New Roman"/>
          <w:strike/>
          <w:szCs w:val="24"/>
        </w:rPr>
        <w:t>in</w:t>
      </w:r>
      <w:r w:rsidRPr="007C022E">
        <w:rPr>
          <w:rFonts w:ascii="Times New Roman" w:eastAsiaTheme="minorHAnsi" w:hAnsi="Times New Roman"/>
          <w:szCs w:val="24"/>
          <w:u w:val="single"/>
        </w:rPr>
        <w:t>The</w:t>
      </w:r>
      <w:proofErr w:type="spellEnd"/>
      <w:r w:rsidRPr="007C022E">
        <w:rPr>
          <w:rFonts w:ascii="Times New Roman" w:eastAsiaTheme="minorHAnsi" w:hAnsi="Times New Roman"/>
          <w:szCs w:val="24"/>
          <w:u w:val="single"/>
        </w:rPr>
        <w:t xml:space="preserve"> nature and extent of contamination to be remediated at the site using loan funds must be defined and documented in a department-approved Risk Evaluation / Corrective Action Program (RECAP) investigation report, voluntary remediation investigation report as provided in</w:t>
      </w:r>
      <w:r w:rsidRPr="007C022E">
        <w:rPr>
          <w:rFonts w:ascii="Times New Roman" w:eastAsiaTheme="minorHAnsi" w:hAnsi="Times New Roman"/>
          <w:szCs w:val="24"/>
        </w:rPr>
        <w:t xml:space="preserve"> LAC 33:</w:t>
      </w:r>
      <w:proofErr w:type="gramStart"/>
      <w:r w:rsidRPr="007C022E">
        <w:rPr>
          <w:rFonts w:ascii="Times New Roman" w:eastAsiaTheme="minorHAnsi" w:hAnsi="Times New Roman"/>
          <w:szCs w:val="24"/>
        </w:rPr>
        <w:t>VI.Chapter</w:t>
      </w:r>
      <w:proofErr w:type="gramEnd"/>
      <w:r w:rsidRPr="007C022E">
        <w:rPr>
          <w:rFonts w:ascii="Times New Roman" w:eastAsiaTheme="minorHAnsi" w:hAnsi="Times New Roman"/>
          <w:szCs w:val="24"/>
        </w:rPr>
        <w:t xml:space="preserve"> 9, </w:t>
      </w:r>
      <w:r w:rsidRPr="007C022E">
        <w:rPr>
          <w:rFonts w:ascii="Times New Roman" w:eastAsiaTheme="minorHAnsi" w:hAnsi="Times New Roman"/>
          <w:szCs w:val="24"/>
          <w:u w:val="single"/>
        </w:rPr>
        <w:t xml:space="preserve">and/or other applicable report, such as a lead and asbestos containing materials survey. A site cleanup plan shall be submitted to the department’s brownfields coordinator </w:t>
      </w:r>
      <w:proofErr w:type="spellStart"/>
      <w:r w:rsidRPr="007C022E">
        <w:rPr>
          <w:rFonts w:ascii="Times New Roman" w:eastAsiaTheme="minorHAnsi" w:hAnsi="Times New Roman"/>
          <w:szCs w:val="24"/>
          <w:u w:val="single"/>
        </w:rPr>
        <w:t>within</w:t>
      </w:r>
      <w:r w:rsidRPr="007C022E">
        <w:rPr>
          <w:rFonts w:ascii="Times New Roman" w:eastAsiaTheme="minorHAnsi" w:hAnsi="Times New Roman"/>
          <w:strike/>
          <w:szCs w:val="24"/>
        </w:rPr>
        <w:t>and</w:t>
      </w:r>
      <w:proofErr w:type="spellEnd"/>
      <w:r w:rsidRPr="007C022E">
        <w:rPr>
          <w:rFonts w:ascii="Times New Roman" w:eastAsiaTheme="minorHAnsi" w:hAnsi="Times New Roman"/>
          <w:strike/>
          <w:szCs w:val="24"/>
        </w:rPr>
        <w:t xml:space="preserve"> the applicant must enter the program by </w:t>
      </w:r>
      <w:r w:rsidRPr="007C022E">
        <w:rPr>
          <w:rFonts w:ascii="Times New Roman" w:eastAsiaTheme="minorHAnsi" w:hAnsi="Times New Roman"/>
          <w:strike/>
          <w:szCs w:val="24"/>
        </w:rPr>
        <w:lastRenderedPageBreak/>
        <w:t>submitting a completed voluntary remediation application for the site to the department within</w:t>
      </w:r>
      <w:r w:rsidRPr="007C022E">
        <w:rPr>
          <w:rFonts w:ascii="Times New Roman" w:eastAsiaTheme="minorHAnsi" w:hAnsi="Times New Roman"/>
          <w:szCs w:val="24"/>
        </w:rPr>
        <w:t xml:space="preserve"> 120 days of the execution of the loan agreement, unless an extension is granted by the administrative authority. The </w:t>
      </w:r>
      <w:r w:rsidRPr="007C022E">
        <w:rPr>
          <w:rFonts w:ascii="Times New Roman" w:eastAsiaTheme="minorHAnsi" w:hAnsi="Times New Roman"/>
          <w:szCs w:val="24"/>
          <w:u w:val="single"/>
        </w:rPr>
        <w:t xml:space="preserve">cleanup must be conducted with department </w:t>
      </w:r>
      <w:proofErr w:type="spellStart"/>
      <w:r w:rsidRPr="007C022E">
        <w:rPr>
          <w:rFonts w:ascii="Times New Roman" w:eastAsiaTheme="minorHAnsi" w:hAnsi="Times New Roman"/>
          <w:szCs w:val="24"/>
          <w:u w:val="single"/>
        </w:rPr>
        <w:t>oversight</w:t>
      </w:r>
      <w:r w:rsidRPr="007C022E">
        <w:rPr>
          <w:rFonts w:ascii="Times New Roman" w:eastAsiaTheme="minorHAnsi" w:hAnsi="Times New Roman"/>
          <w:strike/>
          <w:szCs w:val="24"/>
        </w:rPr>
        <w:t>site</w:t>
      </w:r>
      <w:proofErr w:type="spellEnd"/>
      <w:r w:rsidRPr="007C022E">
        <w:rPr>
          <w:rFonts w:ascii="Times New Roman" w:eastAsiaTheme="minorHAnsi" w:hAnsi="Times New Roman"/>
          <w:strike/>
          <w:szCs w:val="24"/>
        </w:rPr>
        <w:t xml:space="preserve"> must remain in the Louisiana Voluntary Remediation Program</w:t>
      </w:r>
      <w:r w:rsidRPr="007C022E">
        <w:rPr>
          <w:rFonts w:ascii="Times New Roman" w:eastAsiaTheme="minorHAnsi" w:hAnsi="Times New Roman"/>
          <w:szCs w:val="24"/>
        </w:rPr>
        <w:t xml:space="preserve"> to remain eligible for the loan program. All application and oversight fees associated with the remediation shall be paid in a timely fashion in accordance with </w:t>
      </w:r>
      <w:proofErr w:type="spellStart"/>
      <w:r w:rsidRPr="007C022E">
        <w:rPr>
          <w:rFonts w:ascii="Times New Roman" w:eastAsiaTheme="minorHAnsi" w:hAnsi="Times New Roman"/>
          <w:strike/>
          <w:szCs w:val="24"/>
        </w:rPr>
        <w:t>those</w:t>
      </w:r>
      <w:r w:rsidRPr="007C022E">
        <w:rPr>
          <w:rFonts w:ascii="Times New Roman" w:eastAsiaTheme="minorHAnsi" w:hAnsi="Times New Roman"/>
          <w:szCs w:val="24"/>
          <w:u w:val="single"/>
        </w:rPr>
        <w:t>applicable</w:t>
      </w:r>
      <w:proofErr w:type="spellEnd"/>
      <w:r w:rsidRPr="007C022E">
        <w:rPr>
          <w:rFonts w:ascii="Times New Roman" w:eastAsiaTheme="minorHAnsi" w:hAnsi="Times New Roman"/>
          <w:szCs w:val="24"/>
        </w:rPr>
        <w:t xml:space="preserve"> regulations.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3. — 6.</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Promulgated in accordance with R.S. 30:2001 et seq. and in particular R.S. 30:2551-2552.</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31:2217 (September 2005), amended by the Office of the Secretary, Legal Affairs and Criminal Investigations Division LR 47:</w:t>
      </w:r>
    </w:p>
    <w:p w:rsidR="007C022E" w:rsidRPr="007C022E" w:rsidRDefault="007C022E" w:rsidP="007C022E">
      <w:pPr>
        <w:tabs>
          <w:tab w:val="left" w:pos="288"/>
        </w:tabs>
        <w:autoSpaceDE/>
        <w:autoSpaceDN/>
        <w:rPr>
          <w:rFonts w:ascii="Times New Roman" w:eastAsiaTheme="minorHAnsi" w:hAnsi="Times New Roman"/>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§1109.</w:t>
      </w:r>
      <w:r w:rsidRPr="007C022E">
        <w:rPr>
          <w:rFonts w:ascii="Times New Roman" w:eastAsiaTheme="minorHAnsi" w:hAnsi="Times New Roman"/>
          <w:b/>
          <w:szCs w:val="24"/>
        </w:rPr>
        <w:tab/>
        <w:t>Ineligible and Eligible Costs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A.11.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w:t>
      </w:r>
      <w:r w:rsidRPr="007C022E">
        <w:rPr>
          <w:rFonts w:ascii="Times New Roman" w:eastAsiaTheme="minorHAnsi" w:hAnsi="Times New Roman"/>
          <w:szCs w:val="24"/>
        </w:rPr>
        <w:tab/>
        <w:t>Eligible Costs. Loan funds may be used for:</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1.</w:t>
      </w:r>
      <w:r w:rsidRPr="007C022E">
        <w:rPr>
          <w:rFonts w:ascii="Times New Roman" w:eastAsiaTheme="minorHAnsi" w:hAnsi="Times New Roman"/>
          <w:szCs w:val="24"/>
        </w:rPr>
        <w:tab/>
        <w:t xml:space="preserve">programmatic costs that are integral to achieving the purposes of the loan as described in the </w:t>
      </w:r>
      <w:r w:rsidRPr="007C022E">
        <w:rPr>
          <w:rFonts w:ascii="Times New Roman" w:eastAsiaTheme="minorHAnsi" w:hAnsi="Times New Roman"/>
          <w:szCs w:val="24"/>
          <w:u w:val="single"/>
        </w:rPr>
        <w:t xml:space="preserve">terms and conditions of the applicable federal cooperative agreement funding the </w:t>
      </w:r>
      <w:proofErr w:type="spellStart"/>
      <w:r w:rsidRPr="007C022E">
        <w:rPr>
          <w:rFonts w:ascii="Times New Roman" w:eastAsiaTheme="minorHAnsi" w:hAnsi="Times New Roman"/>
          <w:szCs w:val="24"/>
          <w:u w:val="single"/>
        </w:rPr>
        <w:t>loan</w:t>
      </w:r>
      <w:r w:rsidRPr="007C022E">
        <w:rPr>
          <w:rFonts w:ascii="Times New Roman" w:eastAsiaTheme="minorHAnsi" w:hAnsi="Times New Roman"/>
          <w:strike/>
          <w:szCs w:val="24"/>
        </w:rPr>
        <w:t>most</w:t>
      </w:r>
      <w:proofErr w:type="spellEnd"/>
      <w:r w:rsidRPr="007C022E">
        <w:rPr>
          <w:rFonts w:ascii="Times New Roman" w:eastAsiaTheme="minorHAnsi" w:hAnsi="Times New Roman"/>
          <w:strike/>
          <w:szCs w:val="24"/>
        </w:rPr>
        <w:t xml:space="preserve"> current edition of the federal “Proposal Guidelines for Brownfields Assessment, Revolving Loan Fund, and Cleanup Grants” guidance document or its equivalent</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2.</w:t>
      </w:r>
      <w:r w:rsidRPr="007C022E">
        <w:rPr>
          <w:rFonts w:ascii="Times New Roman" w:eastAsiaTheme="minorHAnsi" w:hAnsi="Times New Roman"/>
          <w:szCs w:val="24"/>
        </w:rPr>
        <w:tab/>
        <w:t>preparation of</w:t>
      </w:r>
      <w:r w:rsidRPr="007C022E">
        <w:rPr>
          <w:rFonts w:ascii="Times New Roman" w:eastAsiaTheme="minorHAnsi" w:hAnsi="Times New Roman"/>
          <w:szCs w:val="24"/>
          <w:u w:val="single"/>
        </w:rPr>
        <w:t xml:space="preserve"> cleanup planning documents such as:</w:t>
      </w:r>
    </w:p>
    <w:p w:rsidR="007C022E" w:rsidRPr="007C022E" w:rsidRDefault="007C022E" w:rsidP="007C022E">
      <w:pPr>
        <w:tabs>
          <w:tab w:val="left" w:pos="720"/>
        </w:tabs>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a.</w:t>
      </w:r>
      <w:r w:rsidRPr="007C022E">
        <w:rPr>
          <w:rFonts w:ascii="Times New Roman" w:eastAsiaTheme="minorHAnsi" w:hAnsi="Times New Roman"/>
          <w:szCs w:val="24"/>
          <w:u w:val="single"/>
        </w:rPr>
        <w:tab/>
      </w:r>
      <w:r w:rsidRPr="007C022E">
        <w:rPr>
          <w:rFonts w:ascii="Times New Roman" w:eastAsiaTheme="minorHAnsi" w:hAnsi="Times New Roman"/>
          <w:szCs w:val="24"/>
        </w:rPr>
        <w:t>a voluntary remediation application, including development of the voluntary remedial action plan, as described in LAC 33:</w:t>
      </w:r>
      <w:proofErr w:type="gramStart"/>
      <w:r w:rsidRPr="007C022E">
        <w:rPr>
          <w:rFonts w:ascii="Times New Roman" w:eastAsiaTheme="minorHAnsi" w:hAnsi="Times New Roman"/>
          <w:szCs w:val="24"/>
        </w:rPr>
        <w:t>VI.911.B</w:t>
      </w:r>
      <w:proofErr w:type="gramEnd"/>
      <w:r w:rsidRPr="007C022E">
        <w:rPr>
          <w:rFonts w:ascii="Times New Roman" w:eastAsiaTheme="minorHAnsi" w:hAnsi="Times New Roman"/>
          <w:szCs w:val="24"/>
        </w:rPr>
        <w:t>;</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b.</w:t>
      </w:r>
      <w:r w:rsidRPr="007C022E">
        <w:rPr>
          <w:rFonts w:ascii="Times New Roman" w:eastAsiaTheme="minorHAnsi" w:hAnsi="Times New Roman"/>
          <w:szCs w:val="24"/>
          <w:u w:val="single"/>
        </w:rPr>
        <w:tab/>
        <w:t>a Risk Evaluation / Corrective Action Program (RECAP) compliant corrective action plan;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c.</w:t>
      </w:r>
      <w:r w:rsidRPr="007C022E">
        <w:rPr>
          <w:rFonts w:ascii="Times New Roman" w:eastAsiaTheme="minorHAnsi" w:hAnsi="Times New Roman"/>
          <w:szCs w:val="24"/>
          <w:u w:val="single"/>
        </w:rPr>
        <w:tab/>
        <w:t>a department-approved remedial action plan;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lastRenderedPageBreak/>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d.</w:t>
      </w:r>
      <w:r w:rsidRPr="007C022E">
        <w:rPr>
          <w:rFonts w:ascii="Times New Roman" w:eastAsiaTheme="minorHAnsi" w:hAnsi="Times New Roman"/>
          <w:szCs w:val="24"/>
          <w:u w:val="single"/>
        </w:rPr>
        <w:tab/>
        <w:t>a Quality Assurance Project Plan (QAPP) for data collection activities to be conducted during the remedial action;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e.</w:t>
      </w:r>
      <w:r w:rsidRPr="007C022E">
        <w:rPr>
          <w:rFonts w:ascii="Times New Roman" w:eastAsiaTheme="minorHAnsi" w:hAnsi="Times New Roman"/>
          <w:szCs w:val="24"/>
          <w:u w:val="single"/>
        </w:rPr>
        <w:tab/>
        <w:t>a community relations plan; and</w:t>
      </w:r>
    </w:p>
    <w:p w:rsidR="007C022E" w:rsidRPr="007C022E" w:rsidRDefault="007C022E" w:rsidP="007C022E">
      <w:pPr>
        <w:tabs>
          <w:tab w:val="left" w:pos="720"/>
        </w:tabs>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f.</w:t>
      </w:r>
      <w:r w:rsidRPr="007C022E">
        <w:rPr>
          <w:rFonts w:ascii="Times New Roman" w:eastAsiaTheme="minorHAnsi" w:hAnsi="Times New Roman"/>
          <w:szCs w:val="24"/>
          <w:u w:val="single"/>
        </w:rPr>
        <w:tab/>
        <w:t>an Analysis of Brownfields Cleanup Alternatives (ABCA) to meet federal grant requirements</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3.</w:t>
      </w:r>
      <w:r w:rsidRPr="007C022E">
        <w:rPr>
          <w:rFonts w:ascii="Times New Roman" w:eastAsiaTheme="minorHAnsi" w:hAnsi="Times New Roman"/>
          <w:szCs w:val="24"/>
        </w:rPr>
        <w:tab/>
        <w:t xml:space="preserve">remediation of an eligible site pursuant to and in conformance with </w:t>
      </w:r>
      <w:r w:rsidRPr="007C022E">
        <w:rPr>
          <w:rFonts w:ascii="Times New Roman" w:eastAsiaTheme="minorHAnsi" w:hAnsi="Times New Roman"/>
          <w:szCs w:val="24"/>
          <w:u w:val="single"/>
        </w:rPr>
        <w:t>department oversight and approval</w:t>
      </w:r>
      <w:r w:rsidRPr="007C022E">
        <w:rPr>
          <w:rFonts w:ascii="Times New Roman" w:eastAsiaTheme="minorHAnsi" w:hAnsi="Times New Roman"/>
          <w:strike/>
          <w:szCs w:val="24"/>
        </w:rPr>
        <w:t xml:space="preserve"> the Louisiana Voluntary Remediation Program</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4.</w:t>
      </w:r>
      <w:r w:rsidRPr="007C022E">
        <w:rPr>
          <w:rFonts w:ascii="Times New Roman" w:eastAsiaTheme="minorHAnsi" w:hAnsi="Times New Roman"/>
          <w:szCs w:val="24"/>
        </w:rPr>
        <w:tab/>
        <w:t xml:space="preserve">preparation of a </w:t>
      </w:r>
      <w:r w:rsidRPr="007C022E">
        <w:rPr>
          <w:rFonts w:ascii="Times New Roman" w:eastAsiaTheme="minorHAnsi" w:hAnsi="Times New Roman"/>
          <w:strike/>
          <w:szCs w:val="24"/>
        </w:rPr>
        <w:t xml:space="preserve">voluntary </w:t>
      </w:r>
      <w:r w:rsidRPr="007C022E">
        <w:rPr>
          <w:rFonts w:ascii="Times New Roman" w:eastAsiaTheme="minorHAnsi" w:hAnsi="Times New Roman"/>
          <w:szCs w:val="24"/>
        </w:rPr>
        <w:t xml:space="preserve">remedial action report, as </w:t>
      </w:r>
      <w:r w:rsidRPr="007C022E">
        <w:rPr>
          <w:rFonts w:ascii="Times New Roman" w:eastAsiaTheme="minorHAnsi" w:hAnsi="Times New Roman"/>
          <w:szCs w:val="24"/>
          <w:u w:val="single"/>
        </w:rPr>
        <w:t>detailed in the approved loan agreement</w:t>
      </w:r>
      <w:r w:rsidRPr="007C022E">
        <w:rPr>
          <w:rFonts w:ascii="Times New Roman" w:eastAsiaTheme="minorHAnsi" w:hAnsi="Times New Roman"/>
          <w:strike/>
          <w:szCs w:val="24"/>
        </w:rPr>
        <w:t xml:space="preserve"> described in LAC 33:VI.</w:t>
      </w:r>
      <w:proofErr w:type="gramStart"/>
      <w:r w:rsidRPr="007C022E">
        <w:rPr>
          <w:rFonts w:ascii="Times New Roman" w:eastAsiaTheme="minorHAnsi" w:hAnsi="Times New Roman"/>
          <w:strike/>
          <w:szCs w:val="24"/>
        </w:rPr>
        <w:t>913.C.</w:t>
      </w:r>
      <w:proofErr w:type="gramEnd"/>
      <w:r w:rsidRPr="007C022E">
        <w:rPr>
          <w:rFonts w:ascii="Times New Roman" w:eastAsiaTheme="minorHAnsi" w:hAnsi="Times New Roman"/>
          <w:strike/>
          <w:szCs w:val="24"/>
        </w:rPr>
        <w:t>1</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5. — 6.</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szCs w:val="24"/>
        </w:rPr>
      </w:pPr>
    </w:p>
    <w:p w:rsidR="007C022E" w:rsidRPr="007C022E" w:rsidRDefault="007C022E" w:rsidP="007C022E">
      <w:pPr>
        <w:tabs>
          <w:tab w:val="left" w:pos="81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§1111.</w:t>
      </w:r>
      <w:r w:rsidRPr="007C022E">
        <w:rPr>
          <w:rFonts w:ascii="Times New Roman" w:eastAsiaTheme="minorHAnsi" w:hAnsi="Times New Roman"/>
          <w:b/>
          <w:szCs w:val="24"/>
        </w:rPr>
        <w:tab/>
        <w:t>Loan Requirements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w:t>
      </w:r>
      <w:r w:rsidRPr="007C022E">
        <w:rPr>
          <w:rFonts w:ascii="Times New Roman" w:eastAsiaTheme="minorHAnsi" w:hAnsi="Times New Roman"/>
          <w:szCs w:val="24"/>
        </w:rPr>
        <w:tab/>
        <w:t>The maximum loan amount shall be $</w:t>
      </w:r>
      <w:r w:rsidRPr="007C022E">
        <w:rPr>
          <w:rFonts w:ascii="Times New Roman" w:eastAsiaTheme="minorHAnsi" w:hAnsi="Times New Roman"/>
          <w:strike/>
          <w:szCs w:val="24"/>
        </w:rPr>
        <w:t>2</w:t>
      </w:r>
      <w:r w:rsidRPr="007C022E">
        <w:rPr>
          <w:rFonts w:ascii="Times New Roman" w:eastAsiaTheme="minorHAnsi" w:hAnsi="Times New Roman"/>
          <w:szCs w:val="24"/>
          <w:u w:val="single"/>
        </w:rPr>
        <w:t>5</w:t>
      </w:r>
      <w:r w:rsidRPr="007C022E">
        <w:rPr>
          <w:rFonts w:ascii="Times New Roman" w:eastAsiaTheme="minorHAnsi" w:hAnsi="Times New Roman"/>
          <w:szCs w:val="24"/>
        </w:rPr>
        <w:t>00,000 per brownfields site and shall not exceed the estimated cost of the project. Under special circumstances this maximum loan amount may be increased by the department. The department may award loans that are less than the total project cost for a brownfields site. Loan amounts cannot be increased after the loan award due to cost overruns or other reasons. The borrower must apply for another loan to get additional funds.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 — F.</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bookmarkStart w:id="0" w:name="_GoBack"/>
      <w:bookmarkEnd w:id="0"/>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szCs w:val="24"/>
        </w:rPr>
      </w:pPr>
    </w:p>
    <w:p w:rsidR="007C022E" w:rsidRPr="007C022E" w:rsidRDefault="007C022E" w:rsidP="007C022E">
      <w:pPr>
        <w:tabs>
          <w:tab w:val="left" w:pos="90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lastRenderedPageBreak/>
        <w:t>§1113.</w:t>
      </w:r>
      <w:r w:rsidRPr="007C022E">
        <w:rPr>
          <w:rFonts w:ascii="Times New Roman" w:eastAsiaTheme="minorHAnsi" w:hAnsi="Times New Roman"/>
          <w:b/>
          <w:szCs w:val="24"/>
        </w:rPr>
        <w:tab/>
        <w:t>Loan Application Process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B.4.</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5.</w:t>
      </w:r>
      <w:r w:rsidRPr="007C022E">
        <w:rPr>
          <w:rFonts w:ascii="Times New Roman" w:eastAsiaTheme="minorHAnsi" w:hAnsi="Times New Roman"/>
          <w:szCs w:val="24"/>
        </w:rPr>
        <w:tab/>
        <w:t>a</w:t>
      </w:r>
      <w:r w:rsidRPr="007C022E">
        <w:rPr>
          <w:rFonts w:ascii="Times New Roman" w:eastAsiaTheme="minorHAnsi" w:hAnsi="Times New Roman"/>
          <w:strike/>
          <w:szCs w:val="24"/>
        </w:rPr>
        <w:t>n</w:t>
      </w:r>
      <w:r w:rsidRPr="007C022E">
        <w:rPr>
          <w:rFonts w:ascii="Times New Roman" w:eastAsiaTheme="minorHAnsi" w:hAnsi="Times New Roman"/>
          <w:szCs w:val="24"/>
        </w:rPr>
        <w:t xml:space="preserve"> </w:t>
      </w:r>
      <w:r w:rsidRPr="007C022E">
        <w:rPr>
          <w:rFonts w:ascii="Times New Roman" w:eastAsiaTheme="minorHAnsi" w:hAnsi="Times New Roman"/>
          <w:szCs w:val="24"/>
          <w:u w:val="single"/>
        </w:rPr>
        <w:t>department-</w:t>
      </w:r>
      <w:r w:rsidRPr="007C022E">
        <w:rPr>
          <w:rFonts w:ascii="Times New Roman" w:eastAsiaTheme="minorHAnsi" w:hAnsi="Times New Roman"/>
          <w:szCs w:val="24"/>
        </w:rPr>
        <w:t>approved remedial investigation report</w:t>
      </w:r>
      <w:r w:rsidRPr="007C022E">
        <w:rPr>
          <w:rFonts w:ascii="Times New Roman" w:eastAsiaTheme="minorHAnsi" w:hAnsi="Times New Roman"/>
          <w:strike/>
          <w:szCs w:val="24"/>
        </w:rPr>
        <w:t xml:space="preserve"> as described in LAC 33:VI.</w:t>
      </w:r>
      <w:proofErr w:type="gramStart"/>
      <w:r w:rsidRPr="007C022E">
        <w:rPr>
          <w:rFonts w:ascii="Times New Roman" w:eastAsiaTheme="minorHAnsi" w:hAnsi="Times New Roman"/>
          <w:strike/>
          <w:szCs w:val="24"/>
        </w:rPr>
        <w:t>911.B.</w:t>
      </w:r>
      <w:proofErr w:type="gramEnd"/>
      <w:r w:rsidRPr="007C022E">
        <w:rPr>
          <w:rFonts w:ascii="Times New Roman" w:eastAsiaTheme="minorHAnsi" w:hAnsi="Times New Roman"/>
          <w:strike/>
          <w:szCs w:val="24"/>
        </w:rPr>
        <w:t>3</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6. — 11.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12.</w:t>
      </w:r>
      <w:r w:rsidRPr="007C022E">
        <w:rPr>
          <w:rFonts w:ascii="Times New Roman" w:eastAsiaTheme="minorHAnsi" w:hAnsi="Times New Roman"/>
          <w:szCs w:val="24"/>
        </w:rPr>
        <w:tab/>
        <w:t xml:space="preserve">an appraisal of the estimated value of the property after the </w:t>
      </w:r>
      <w:r w:rsidRPr="007C022E">
        <w:rPr>
          <w:rFonts w:ascii="Times New Roman" w:eastAsiaTheme="minorHAnsi" w:hAnsi="Times New Roman"/>
          <w:strike/>
          <w:szCs w:val="24"/>
        </w:rPr>
        <w:t xml:space="preserve">voluntary </w:t>
      </w:r>
      <w:r w:rsidRPr="007C022E">
        <w:rPr>
          <w:rFonts w:ascii="Times New Roman" w:eastAsiaTheme="minorHAnsi" w:hAnsi="Times New Roman"/>
          <w:szCs w:val="24"/>
        </w:rPr>
        <w:t>remedial action is complete;</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B.13. — E.</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Default="007C022E">
      <w:pPr>
        <w:pStyle w:val="WPNormal"/>
        <w:tabs>
          <w:tab w:val="left" w:pos="-720"/>
          <w:tab w:val="left" w:pos="0"/>
          <w:tab w:val="left" w:pos="720"/>
          <w:tab w:val="left" w:pos="1440"/>
          <w:tab w:val="left" w:pos="2160"/>
          <w:tab w:val="left" w:pos="2880"/>
        </w:tabs>
        <w:jc w:val="center"/>
        <w:rPr>
          <w:rFonts w:ascii="Palatino" w:hAnsi="Palatino"/>
          <w:b/>
          <w:sz w:val="20"/>
        </w:rPr>
      </w:pPr>
    </w:p>
    <w:p w:rsidR="007C022E" w:rsidRDefault="007C022E">
      <w:pPr>
        <w:pStyle w:val="WPNormal"/>
        <w:tabs>
          <w:tab w:val="left" w:pos="-720"/>
          <w:tab w:val="left" w:pos="0"/>
          <w:tab w:val="left" w:pos="720"/>
          <w:tab w:val="left" w:pos="1440"/>
          <w:tab w:val="left" w:pos="2160"/>
          <w:tab w:val="left" w:pos="2880"/>
        </w:tabs>
        <w:jc w:val="center"/>
        <w:rPr>
          <w:rFonts w:ascii="Palatino" w:hAnsi="Palatino"/>
          <w:b/>
          <w:sz w:val="20"/>
        </w:rPr>
      </w:pPr>
    </w:p>
    <w:sectPr w:rsidR="007C022E" w:rsidSect="007C022E">
      <w:headerReference w:type="default" r:id="rId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52" w:rsidRDefault="00F32452">
      <w:r>
        <w:separator/>
      </w:r>
    </w:p>
  </w:endnote>
  <w:endnote w:type="continuationSeparator" w:id="0">
    <w:p w:rsidR="00F32452" w:rsidRDefault="00F3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52" w:rsidRDefault="00F32452">
      <w:r>
        <w:separator/>
      </w:r>
    </w:p>
  </w:footnote>
  <w:footnote w:type="continuationSeparator" w:id="0">
    <w:p w:rsidR="00F32452" w:rsidRDefault="00F3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D3" w:rsidRDefault="00996791">
    <w:pPr>
      <w:pStyle w:val="Header"/>
    </w:pPr>
    <w:r>
      <w:t>Final</w:t>
    </w:r>
    <w:r w:rsidR="001070D3">
      <w:t xml:space="preserve"> </w:t>
    </w:r>
    <w:r>
      <w:t>July</w:t>
    </w:r>
    <w:r w:rsidR="001070D3">
      <w:t xml:space="preserve"> 20, 2021</w:t>
    </w:r>
    <w:r w:rsidR="001070D3">
      <w:tab/>
    </w:r>
    <w:r w:rsidR="001070D3">
      <w:tab/>
      <w:t>IA06</w:t>
    </w:r>
  </w:p>
  <w:p w:rsidR="001070D3" w:rsidRDefault="0010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41E10"/>
    <w:multiLevelType w:val="hybridMultilevel"/>
    <w:tmpl w:val="80BC33CC"/>
    <w:lvl w:ilvl="0" w:tplc="9342D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26E3"/>
    <w:multiLevelType w:val="hybridMultilevel"/>
    <w:tmpl w:val="06E86E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78634130"/>
    <w:multiLevelType w:val="hybridMultilevel"/>
    <w:tmpl w:val="3C2CEB58"/>
    <w:lvl w:ilvl="0" w:tplc="446A0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7A8B6758"/>
    <w:multiLevelType w:val="hybridMultilevel"/>
    <w:tmpl w:val="DDC44D7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3"/>
  </w:num>
  <w:num w:numId="4">
    <w:abstractNumId w:val="0"/>
  </w:num>
  <w:num w:numId="5">
    <w:abstractNumId w:val="6"/>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A9"/>
    <w:rsid w:val="001070D3"/>
    <w:rsid w:val="002D6CAF"/>
    <w:rsid w:val="00347FA9"/>
    <w:rsid w:val="004013B7"/>
    <w:rsid w:val="007C022E"/>
    <w:rsid w:val="00996791"/>
    <w:rsid w:val="009D05A6"/>
    <w:rsid w:val="00A81018"/>
    <w:rsid w:val="00BA44FC"/>
    <w:rsid w:val="00C816A1"/>
    <w:rsid w:val="00C91820"/>
    <w:rsid w:val="00F324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26832"/>
  <w14:defaultImageDpi w14:val="330"/>
  <w15:chartTrackingRefBased/>
  <w15:docId w15:val="{FAC745CB-58C5-487C-8376-2185A982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pPr>
      <w:jc w:val="both"/>
    </w:pPr>
    <w:rPr>
      <w:rFonts w:ascii="New Century Schlbk" w:hAnsi="New Century Schlbk"/>
      <w:color w:val="000000"/>
    </w:rPr>
  </w:style>
  <w:style w:type="paragraph" w:customStyle="1" w:styleId="WPWPDefaults">
    <w:name w:val="WP_WP Defaults"/>
    <w:pPr>
      <w:widowControl w:val="0"/>
      <w:autoSpaceDE w:val="0"/>
      <w:autoSpaceDN w:val="0"/>
    </w:pPr>
    <w:rPr>
      <w:rFonts w:ascii="Geneva" w:eastAsia="Times New Roman" w:hAnsi="Geneva"/>
      <w:sz w:val="24"/>
    </w:rPr>
  </w:style>
  <w:style w:type="paragraph" w:customStyle="1" w:styleId="Default">
    <w:name w:val="Default"/>
    <w:pPr>
      <w:widowControl w:val="0"/>
      <w:autoSpaceDE w:val="0"/>
      <w:autoSpaceDN w:val="0"/>
      <w:adjustRightInd w:val="0"/>
    </w:pPr>
    <w:rPr>
      <w:rFonts w:ascii="Times New Roman" w:eastAsia="Times New Roman"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FISCAL AND ECONOMIC IMPACT STATEMENT</vt:lpstr>
    </vt:vector>
  </TitlesOfParts>
  <Company>La. State Legislative Fiscal Office</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AND ECONOMIC IMPACT STATEMENT</dc:title>
  <dc:subject/>
  <dc:creator>Legislative Fiscal Staff</dc:creator>
  <cp:keywords/>
  <cp:lastModifiedBy>Laura Almond</cp:lastModifiedBy>
  <cp:revision>3</cp:revision>
  <cp:lastPrinted>2021-01-05T20:03:00Z</cp:lastPrinted>
  <dcterms:created xsi:type="dcterms:W3CDTF">2021-06-25T14:14:00Z</dcterms:created>
  <dcterms:modified xsi:type="dcterms:W3CDTF">2021-06-25T14:15:00Z</dcterms:modified>
</cp:coreProperties>
</file>