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C4" w:rsidRPr="001430C4" w:rsidRDefault="001430C4" w:rsidP="001430C4">
      <w:pPr>
        <w:jc w:val="center"/>
        <w:rPr>
          <w:szCs w:val="20"/>
        </w:rPr>
      </w:pPr>
      <w:r w:rsidRPr="001430C4">
        <w:rPr>
          <w:szCs w:val="20"/>
        </w:rPr>
        <w:t>NOTICE OF INTENT</w:t>
      </w:r>
    </w:p>
    <w:p w:rsidR="001430C4" w:rsidRPr="001430C4" w:rsidRDefault="001430C4" w:rsidP="001430C4">
      <w:pPr>
        <w:jc w:val="center"/>
        <w:rPr>
          <w:szCs w:val="20"/>
        </w:rPr>
      </w:pPr>
    </w:p>
    <w:p w:rsidR="001430C4" w:rsidRPr="001430C4" w:rsidRDefault="001430C4" w:rsidP="001430C4">
      <w:pPr>
        <w:jc w:val="center"/>
        <w:rPr>
          <w:szCs w:val="20"/>
        </w:rPr>
      </w:pPr>
      <w:r w:rsidRPr="001430C4">
        <w:rPr>
          <w:szCs w:val="20"/>
        </w:rPr>
        <w:t>Department of Environmental Quality</w:t>
      </w:r>
    </w:p>
    <w:p w:rsidR="001430C4" w:rsidRPr="001430C4" w:rsidRDefault="001430C4" w:rsidP="001430C4">
      <w:pPr>
        <w:jc w:val="center"/>
        <w:rPr>
          <w:szCs w:val="20"/>
        </w:rPr>
      </w:pPr>
      <w:r w:rsidRPr="001430C4">
        <w:rPr>
          <w:szCs w:val="20"/>
        </w:rPr>
        <w:t>Office of the Secretary</w:t>
      </w:r>
    </w:p>
    <w:p w:rsidR="001430C4" w:rsidRPr="001430C4" w:rsidRDefault="001430C4" w:rsidP="001430C4">
      <w:pPr>
        <w:jc w:val="center"/>
        <w:rPr>
          <w:szCs w:val="20"/>
        </w:rPr>
      </w:pPr>
      <w:r w:rsidRPr="001430C4">
        <w:rPr>
          <w:szCs w:val="20"/>
        </w:rPr>
        <w:t>Legal Affairs and Criminal Investigations Division</w:t>
      </w:r>
    </w:p>
    <w:p w:rsidR="001430C4" w:rsidRPr="001430C4" w:rsidRDefault="001430C4" w:rsidP="001430C4">
      <w:pPr>
        <w:jc w:val="center"/>
        <w:rPr>
          <w:szCs w:val="20"/>
        </w:rPr>
      </w:pPr>
    </w:p>
    <w:p w:rsidR="001430C4" w:rsidRPr="001430C4" w:rsidRDefault="001430C4" w:rsidP="001430C4">
      <w:pPr>
        <w:jc w:val="center"/>
        <w:rPr>
          <w:szCs w:val="20"/>
        </w:rPr>
      </w:pPr>
      <w:r w:rsidRPr="001430C4">
        <w:rPr>
          <w:noProof/>
          <w:szCs w:val="20"/>
        </w:rPr>
        <w:t>Repeal of LAC 33:III.506</w:t>
      </w:r>
    </w:p>
    <w:p w:rsidR="001430C4" w:rsidRPr="001430C4" w:rsidRDefault="001430C4" w:rsidP="001430C4">
      <w:pPr>
        <w:jc w:val="center"/>
        <w:rPr>
          <w:szCs w:val="20"/>
        </w:rPr>
      </w:pPr>
      <w:r w:rsidRPr="001430C4">
        <w:rPr>
          <w:szCs w:val="20"/>
        </w:rPr>
        <w:t>(</w:t>
      </w:r>
      <w:r w:rsidRPr="001430C4">
        <w:rPr>
          <w:noProof/>
          <w:szCs w:val="20"/>
        </w:rPr>
        <w:t>LAC 33:III.506</w:t>
      </w:r>
      <w:r w:rsidRPr="001430C4">
        <w:rPr>
          <w:szCs w:val="20"/>
        </w:rPr>
        <w:t>) (</w:t>
      </w:r>
      <w:r w:rsidRPr="001430C4">
        <w:rPr>
          <w:noProof/>
          <w:szCs w:val="20"/>
        </w:rPr>
        <w:t>AQ392</w:t>
      </w:r>
      <w:r w:rsidRPr="001430C4">
        <w:rPr>
          <w:szCs w:val="20"/>
        </w:rPr>
        <w:t>)</w:t>
      </w:r>
    </w:p>
    <w:p w:rsidR="001430C4" w:rsidRPr="001430C4" w:rsidRDefault="001430C4" w:rsidP="001430C4">
      <w:pPr>
        <w:jc w:val="center"/>
        <w:rPr>
          <w:szCs w:val="20"/>
        </w:rPr>
      </w:pPr>
    </w:p>
    <w:p w:rsidR="001430C4" w:rsidRPr="001430C4" w:rsidRDefault="001430C4" w:rsidP="001430C4">
      <w:pPr>
        <w:rPr>
          <w:szCs w:val="20"/>
        </w:rPr>
      </w:pPr>
      <w:r w:rsidRPr="001430C4">
        <w:rPr>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1430C4">
        <w:rPr>
          <w:noProof/>
          <w:szCs w:val="20"/>
        </w:rPr>
        <w:t>Air</w:t>
      </w:r>
      <w:r w:rsidRPr="001430C4">
        <w:rPr>
          <w:szCs w:val="20"/>
        </w:rPr>
        <w:t xml:space="preserve"> regulations, </w:t>
      </w:r>
      <w:r w:rsidRPr="001430C4">
        <w:rPr>
          <w:noProof/>
          <w:szCs w:val="20"/>
        </w:rPr>
        <w:t>LAC 33:III.506</w:t>
      </w:r>
      <w:r w:rsidRPr="001430C4">
        <w:rPr>
          <w:szCs w:val="20"/>
        </w:rPr>
        <w:t xml:space="preserve"> (</w:t>
      </w:r>
      <w:r w:rsidRPr="001430C4">
        <w:rPr>
          <w:noProof/>
          <w:szCs w:val="20"/>
        </w:rPr>
        <w:t>AQ392</w:t>
      </w:r>
      <w:r w:rsidRPr="001430C4">
        <w:rPr>
          <w:szCs w:val="20"/>
        </w:rPr>
        <w:t>).</w:t>
      </w:r>
    </w:p>
    <w:p w:rsidR="001430C4" w:rsidRPr="001430C4" w:rsidRDefault="001430C4" w:rsidP="001430C4">
      <w:pPr>
        <w:rPr>
          <w:szCs w:val="20"/>
        </w:rPr>
      </w:pPr>
    </w:p>
    <w:p w:rsidR="001430C4" w:rsidRPr="001430C4" w:rsidRDefault="001430C4" w:rsidP="001430C4">
      <w:pPr>
        <w:rPr>
          <w:noProof/>
          <w:szCs w:val="20"/>
        </w:rPr>
      </w:pPr>
      <w:r w:rsidRPr="001430C4">
        <w:rPr>
          <w:szCs w:val="20"/>
        </w:rPr>
        <w:tab/>
      </w:r>
      <w:r w:rsidRPr="001430C4">
        <w:rPr>
          <w:noProof/>
          <w:szCs w:val="20"/>
        </w:rPr>
        <w:t>On August 8, 2011, the United States Environmental Protection Agency (EPA) issued the Cross-State Air Pollution Rule (CSAPR) to address Clean Air Act requirements concerning interstate transport of air pollution and to replace the previous Clean Air Interstate Rule (CAIR), which the D.C. Circuit remanded to EPA for replacement.</w:t>
      </w:r>
    </w:p>
    <w:p w:rsidR="001430C4" w:rsidRPr="001430C4" w:rsidRDefault="001430C4" w:rsidP="001430C4">
      <w:pPr>
        <w:rPr>
          <w:noProof/>
          <w:szCs w:val="20"/>
        </w:rPr>
      </w:pPr>
    </w:p>
    <w:p w:rsidR="001430C4" w:rsidRPr="001430C4" w:rsidRDefault="001430C4" w:rsidP="001430C4">
      <w:pPr>
        <w:ind w:firstLine="720"/>
        <w:rPr>
          <w:noProof/>
          <w:szCs w:val="20"/>
        </w:rPr>
      </w:pPr>
      <w:r w:rsidRPr="001430C4">
        <w:rPr>
          <w:noProof/>
          <w:szCs w:val="20"/>
        </w:rPr>
        <w:t>Per EPA's "Rulemaking to Amend Dates in Federal Implementation Plans Addressing Interstate Transport of Ozone and Fine Particulate Matter" promulgated on December 3, 2014, when CSAPR was implemented in 2015, CAIR sunset in compliance with the terms of the 2008 remand, effective December 31, 2014.</w:t>
      </w:r>
    </w:p>
    <w:p w:rsidR="001430C4" w:rsidRPr="001430C4" w:rsidRDefault="001430C4" w:rsidP="001430C4">
      <w:pPr>
        <w:ind w:firstLine="720"/>
        <w:rPr>
          <w:noProof/>
          <w:szCs w:val="20"/>
        </w:rPr>
      </w:pPr>
    </w:p>
    <w:p w:rsidR="001430C4" w:rsidRPr="001430C4" w:rsidRDefault="001430C4" w:rsidP="001430C4">
      <w:pPr>
        <w:ind w:firstLine="720"/>
        <w:rPr>
          <w:szCs w:val="20"/>
        </w:rPr>
      </w:pPr>
      <w:r w:rsidRPr="001430C4">
        <w:rPr>
          <w:noProof/>
          <w:szCs w:val="20"/>
        </w:rPr>
        <w:t>Accordingly, LAC 33:III.506, which prescribes how CAIR annual NO</w:t>
      </w:r>
      <w:r w:rsidRPr="001430C4">
        <w:rPr>
          <w:noProof/>
          <w:szCs w:val="20"/>
          <w:vertAlign w:val="subscript"/>
        </w:rPr>
        <w:t>x</w:t>
      </w:r>
      <w:r w:rsidRPr="001430C4">
        <w:rPr>
          <w:noProof/>
          <w:szCs w:val="20"/>
        </w:rPr>
        <w:t xml:space="preserve"> and ozone season NO</w:t>
      </w:r>
      <w:r w:rsidRPr="001430C4">
        <w:rPr>
          <w:noProof/>
          <w:szCs w:val="20"/>
          <w:vertAlign w:val="subscript"/>
        </w:rPr>
        <w:t>x</w:t>
      </w:r>
      <w:r w:rsidRPr="001430C4">
        <w:rPr>
          <w:noProof/>
          <w:szCs w:val="20"/>
        </w:rPr>
        <w:t xml:space="preserve"> allowances are to be allocated and incorporates the federal SO</w:t>
      </w:r>
      <w:r w:rsidRPr="001430C4">
        <w:rPr>
          <w:noProof/>
          <w:szCs w:val="20"/>
          <w:vertAlign w:val="subscript"/>
        </w:rPr>
        <w:t>2</w:t>
      </w:r>
      <w:r w:rsidRPr="001430C4">
        <w:rPr>
          <w:noProof/>
          <w:szCs w:val="20"/>
        </w:rPr>
        <w:t xml:space="preserve"> model Rule under 40 CFR 96 by reference, is no longer necessary. This Rule will repeal LAC 33:III.506 (Clean Air Interstate Rule Requirements).</w:t>
      </w:r>
      <w:r w:rsidRPr="001430C4">
        <w:rPr>
          <w:szCs w:val="20"/>
        </w:rPr>
        <w:t xml:space="preserve"> T</w:t>
      </w:r>
      <w:r w:rsidRPr="001430C4">
        <w:rPr>
          <w:noProof/>
          <w:szCs w:val="20"/>
        </w:rPr>
        <w:t>he basis and rationale for this Rule are to repeal LAC 33:III.506.</w:t>
      </w:r>
      <w:r w:rsidRPr="001430C4">
        <w:rPr>
          <w:szCs w:val="20"/>
        </w:rPr>
        <w:t xml:space="preserve"> This Rule meets an exception listed in R.S. 30:2019(D</w:t>
      </w:r>
      <w:proofErr w:type="gramStart"/>
      <w:r w:rsidRPr="001430C4">
        <w:rPr>
          <w:szCs w:val="20"/>
        </w:rPr>
        <w:t>)(</w:t>
      </w:r>
      <w:proofErr w:type="gramEnd"/>
      <w:r w:rsidRPr="001430C4">
        <w:rPr>
          <w:szCs w:val="20"/>
        </w:rPr>
        <w:t>2) and R.S. 49:963.B(3); therefore, no report regarding environmental/health benefits and social/economic costs is required.</w:t>
      </w:r>
    </w:p>
    <w:p w:rsidR="001430C4" w:rsidRPr="001430C4" w:rsidRDefault="001430C4" w:rsidP="001430C4">
      <w:pPr>
        <w:rPr>
          <w:szCs w:val="20"/>
        </w:rPr>
      </w:pPr>
    </w:p>
    <w:p w:rsidR="001430C4" w:rsidRPr="001430C4" w:rsidRDefault="001430C4" w:rsidP="001430C4">
      <w:pPr>
        <w:jc w:val="center"/>
        <w:rPr>
          <w:szCs w:val="20"/>
        </w:rPr>
      </w:pPr>
      <w:r w:rsidRPr="001430C4">
        <w:rPr>
          <w:b/>
          <w:szCs w:val="20"/>
        </w:rPr>
        <w:t>Family Impact Statement</w:t>
      </w:r>
    </w:p>
    <w:p w:rsidR="001430C4" w:rsidRPr="001430C4" w:rsidRDefault="001430C4" w:rsidP="001430C4">
      <w:pPr>
        <w:ind w:firstLine="720"/>
        <w:rPr>
          <w:szCs w:val="20"/>
        </w:rPr>
      </w:pPr>
      <w:r w:rsidRPr="001430C4">
        <w:rPr>
          <w:szCs w:val="20"/>
        </w:rPr>
        <w:t>This Rule has no known impact on family formation, stability, and autonomy as described in R.S. 49:972.</w:t>
      </w:r>
    </w:p>
    <w:p w:rsidR="001430C4" w:rsidRPr="001430C4" w:rsidRDefault="001430C4" w:rsidP="001430C4">
      <w:pPr>
        <w:jc w:val="center"/>
        <w:rPr>
          <w:szCs w:val="20"/>
        </w:rPr>
      </w:pPr>
      <w:r w:rsidRPr="001430C4">
        <w:rPr>
          <w:b/>
          <w:szCs w:val="20"/>
        </w:rPr>
        <w:t>Poverty Impact Statement</w:t>
      </w:r>
    </w:p>
    <w:p w:rsidR="001430C4" w:rsidRPr="001430C4" w:rsidRDefault="001430C4" w:rsidP="001430C4">
      <w:pPr>
        <w:ind w:firstLine="720"/>
        <w:rPr>
          <w:color w:val="000000"/>
        </w:rPr>
      </w:pPr>
      <w:r w:rsidRPr="001430C4">
        <w:t xml:space="preserve">This Rule has no known impact on </w:t>
      </w:r>
      <w:r w:rsidRPr="001430C4">
        <w:rPr>
          <w:color w:val="000000"/>
        </w:rPr>
        <w:t>poverty as described in R.S. 49:973.</w:t>
      </w:r>
    </w:p>
    <w:p w:rsidR="001430C4" w:rsidRPr="001430C4" w:rsidRDefault="001430C4" w:rsidP="001430C4">
      <w:pPr>
        <w:ind w:firstLine="720"/>
        <w:rPr>
          <w:color w:val="000000"/>
        </w:rPr>
      </w:pPr>
    </w:p>
    <w:p w:rsidR="001430C4" w:rsidRPr="001430C4" w:rsidRDefault="001430C4" w:rsidP="001430C4">
      <w:pPr>
        <w:jc w:val="center"/>
        <w:rPr>
          <w:b/>
          <w:color w:val="000000"/>
        </w:rPr>
      </w:pPr>
      <w:r w:rsidRPr="001430C4">
        <w:rPr>
          <w:b/>
          <w:color w:val="000000"/>
        </w:rPr>
        <w:t>Small Business Analysis</w:t>
      </w:r>
    </w:p>
    <w:p w:rsidR="001430C4" w:rsidRPr="001430C4" w:rsidRDefault="001430C4" w:rsidP="001430C4">
      <w:pPr>
        <w:ind w:firstLine="720"/>
      </w:pPr>
      <w:r w:rsidRPr="001430C4">
        <w:rPr>
          <w:color w:val="000000"/>
        </w:rPr>
        <w:t xml:space="preserve">This Rule has no known impact on small business as described in </w:t>
      </w:r>
      <w:r w:rsidRPr="001430C4">
        <w:t>R.S. 49:974.1 - 974.8.</w:t>
      </w:r>
    </w:p>
    <w:p w:rsidR="001430C4" w:rsidRPr="001430C4" w:rsidRDefault="001430C4" w:rsidP="001430C4">
      <w:pPr>
        <w:ind w:firstLine="720"/>
        <w:rPr>
          <w:color w:val="000000"/>
        </w:rPr>
      </w:pPr>
    </w:p>
    <w:p w:rsidR="001430C4" w:rsidRPr="001430C4" w:rsidRDefault="001430C4" w:rsidP="001430C4">
      <w:pPr>
        <w:jc w:val="center"/>
        <w:rPr>
          <w:color w:val="000000"/>
        </w:rPr>
      </w:pPr>
      <w:r w:rsidRPr="001430C4">
        <w:rPr>
          <w:b/>
          <w:color w:val="000000"/>
        </w:rPr>
        <w:t>Provider Impact Statement</w:t>
      </w:r>
    </w:p>
    <w:p w:rsidR="001430C4" w:rsidRPr="001430C4" w:rsidRDefault="001430C4" w:rsidP="001430C4">
      <w:pPr>
        <w:ind w:firstLine="720"/>
      </w:pPr>
      <w:r w:rsidRPr="001430C4">
        <w:rPr>
          <w:color w:val="000000"/>
        </w:rPr>
        <w:t>This Rule has no known impact on providers as described in HCR 170 of 2014.</w:t>
      </w:r>
    </w:p>
    <w:p w:rsidR="001430C4" w:rsidRPr="001430C4" w:rsidRDefault="001430C4" w:rsidP="001430C4">
      <w:pPr>
        <w:rPr>
          <w:szCs w:val="20"/>
        </w:rPr>
      </w:pPr>
    </w:p>
    <w:p w:rsidR="001430C4" w:rsidRPr="001430C4" w:rsidRDefault="001430C4" w:rsidP="001430C4">
      <w:pPr>
        <w:jc w:val="center"/>
        <w:rPr>
          <w:b/>
          <w:szCs w:val="20"/>
        </w:rPr>
      </w:pPr>
      <w:r w:rsidRPr="001430C4">
        <w:rPr>
          <w:b/>
          <w:szCs w:val="20"/>
        </w:rPr>
        <w:t>Public Comments</w:t>
      </w:r>
    </w:p>
    <w:p w:rsidR="001430C4" w:rsidRPr="001430C4" w:rsidRDefault="001430C4" w:rsidP="001430C4">
      <w:pPr>
        <w:rPr>
          <w:szCs w:val="20"/>
        </w:rPr>
      </w:pPr>
      <w:r w:rsidRPr="001430C4">
        <w:rPr>
          <w:szCs w:val="20"/>
        </w:rPr>
        <w:tab/>
        <w:t xml:space="preserve">All interested persons </w:t>
      </w:r>
      <w:proofErr w:type="gramStart"/>
      <w:r w:rsidRPr="001430C4">
        <w:rPr>
          <w:szCs w:val="20"/>
        </w:rPr>
        <w:t>are invited</w:t>
      </w:r>
      <w:proofErr w:type="gramEnd"/>
      <w:r w:rsidRPr="001430C4">
        <w:rPr>
          <w:szCs w:val="20"/>
        </w:rPr>
        <w:t xml:space="preserve"> to submit written comments on the proposed regulation. Persons commenting should reference this proposed regulation by </w:t>
      </w:r>
      <w:r w:rsidRPr="001430C4">
        <w:rPr>
          <w:noProof/>
          <w:szCs w:val="20"/>
        </w:rPr>
        <w:t>AQ392</w:t>
      </w:r>
      <w:r w:rsidRPr="001430C4">
        <w:rPr>
          <w:szCs w:val="20"/>
        </w:rPr>
        <w:t xml:space="preserve">. Such comments must </w:t>
      </w:r>
      <w:r w:rsidRPr="001430C4">
        <w:rPr>
          <w:szCs w:val="20"/>
        </w:rPr>
        <w:lastRenderedPageBreak/>
        <w:t xml:space="preserve">be received no later than </w:t>
      </w:r>
      <w:r w:rsidRPr="001430C4">
        <w:rPr>
          <w:noProof/>
          <w:szCs w:val="20"/>
        </w:rPr>
        <w:t>October 5, 2023</w:t>
      </w:r>
      <w:r w:rsidRPr="001430C4">
        <w:rPr>
          <w:szCs w:val="20"/>
        </w:rPr>
        <w:t xml:space="preserve">, at 4:30 p.m., and should be sent to William Little, Attorney Supervisor, </w:t>
      </w:r>
      <w:r w:rsidRPr="001430C4">
        <w:t xml:space="preserve">Office of the Secretary, </w:t>
      </w:r>
      <w:r w:rsidRPr="001430C4">
        <w:rPr>
          <w:szCs w:val="20"/>
        </w:rPr>
        <w:t>Legal Affairs Division</w:t>
      </w:r>
      <w:r w:rsidRPr="001430C4">
        <w:t>, P.O. Box 4302, Baton Rouge, LA 70821-4302</w:t>
      </w:r>
      <w:r w:rsidRPr="001430C4">
        <w:rPr>
          <w:szCs w:val="20"/>
        </w:rPr>
        <w:t xml:space="preserve"> or by </w:t>
      </w:r>
      <w:r w:rsidRPr="001430C4">
        <w:rPr>
          <w:smallCaps/>
          <w:szCs w:val="20"/>
        </w:rPr>
        <w:t>fax</w:t>
      </w:r>
      <w:r w:rsidRPr="001430C4">
        <w:rPr>
          <w:szCs w:val="20"/>
        </w:rPr>
        <w:t xml:space="preserve"> (225) 219-4068 or by e-mail to DEQ.Reg.Dev.Comments@la.gov. Copies of these proposed regulations </w:t>
      </w:r>
      <w:proofErr w:type="gramStart"/>
      <w:r w:rsidRPr="001430C4">
        <w:rPr>
          <w:szCs w:val="20"/>
        </w:rPr>
        <w:t>can be purchased</w:t>
      </w:r>
      <w:proofErr w:type="gramEnd"/>
      <w:r w:rsidRPr="001430C4">
        <w:rPr>
          <w:szCs w:val="20"/>
        </w:rPr>
        <w:t xml:space="preserve"> by contacting the LDEQ Public Records Center at (225) 219-3168. Check or money order is required in advance for each copy of </w:t>
      </w:r>
      <w:r w:rsidRPr="001430C4">
        <w:rPr>
          <w:noProof/>
          <w:szCs w:val="20"/>
        </w:rPr>
        <w:t>AQ392</w:t>
      </w:r>
      <w:r w:rsidRPr="001430C4">
        <w:rPr>
          <w:szCs w:val="20"/>
        </w:rPr>
        <w:t>. These proposed regulations are available on the Internet at www.deq.louisiana.gov/portal/tabid/1669/default.aspx.</w:t>
      </w:r>
    </w:p>
    <w:p w:rsidR="001430C4" w:rsidRPr="001430C4" w:rsidRDefault="001430C4" w:rsidP="001430C4">
      <w:pPr>
        <w:rPr>
          <w:szCs w:val="20"/>
        </w:rPr>
      </w:pPr>
    </w:p>
    <w:p w:rsidR="001430C4" w:rsidRPr="001430C4" w:rsidRDefault="001430C4" w:rsidP="001430C4">
      <w:pPr>
        <w:jc w:val="center"/>
        <w:rPr>
          <w:szCs w:val="20"/>
        </w:rPr>
      </w:pPr>
      <w:r w:rsidRPr="001430C4">
        <w:rPr>
          <w:b/>
          <w:szCs w:val="20"/>
        </w:rPr>
        <w:t>Public Hearing</w:t>
      </w:r>
    </w:p>
    <w:p w:rsidR="001430C4" w:rsidRPr="001430C4" w:rsidRDefault="001430C4" w:rsidP="001430C4">
      <w:pPr>
        <w:ind w:firstLine="720"/>
        <w:rPr>
          <w:szCs w:val="20"/>
        </w:rPr>
      </w:pPr>
      <w:r w:rsidRPr="001430C4">
        <w:rPr>
          <w:szCs w:val="20"/>
        </w:rPr>
        <w:t xml:space="preserve">A public hearing will be held via Zoom on </w:t>
      </w:r>
      <w:r w:rsidRPr="001430C4">
        <w:rPr>
          <w:noProof/>
          <w:szCs w:val="20"/>
        </w:rPr>
        <w:t>September 28, 2023</w:t>
      </w:r>
      <w:r w:rsidRPr="001430C4">
        <w:rPr>
          <w:szCs w:val="20"/>
        </w:rPr>
        <w:t xml:space="preserve">, at 1:30 p.m. </w:t>
      </w:r>
      <w:proofErr w:type="gramStart"/>
      <w:r w:rsidRPr="001430C4">
        <w:rPr>
          <w:szCs w:val="20"/>
        </w:rPr>
        <w:t>Interested</w:t>
      </w:r>
      <w:proofErr w:type="gramEnd"/>
      <w:r w:rsidRPr="001430C4">
        <w:rPr>
          <w:szCs w:val="20"/>
        </w:rPr>
        <w:t xml:space="preserve"> persons are invited to attend and submit oral comments via PC, Mac, Linux, iOS or Android at https://deqlouisiana.zoom.us/j/86752253289?pwd=YWkwN1J0LzZ6N3NVcnUyTmJFZ1plZz0, password 436469 or by telephone by dialing 636-651-3182 using the conference code 725573. Should individuals with a disability need an accommodation in order to participate, contact William </w:t>
      </w:r>
      <w:proofErr w:type="gramStart"/>
      <w:r w:rsidRPr="001430C4">
        <w:rPr>
          <w:szCs w:val="20"/>
        </w:rPr>
        <w:t>Little</w:t>
      </w:r>
      <w:proofErr w:type="gramEnd"/>
      <w:r w:rsidRPr="001430C4">
        <w:rPr>
          <w:szCs w:val="20"/>
        </w:rPr>
        <w:t xml:space="preserve"> at the address given below or at (225) 219-3985.</w:t>
      </w:r>
    </w:p>
    <w:p w:rsidR="001430C4" w:rsidRPr="001430C4" w:rsidRDefault="001430C4" w:rsidP="001430C4">
      <w:pPr>
        <w:rPr>
          <w:szCs w:val="20"/>
        </w:rPr>
      </w:pPr>
    </w:p>
    <w:p w:rsidR="001430C4" w:rsidRPr="001430C4" w:rsidRDefault="001430C4" w:rsidP="001430C4">
      <w:pPr>
        <w:rPr>
          <w:szCs w:val="20"/>
        </w:rPr>
      </w:pPr>
      <w:r w:rsidRPr="001430C4">
        <w:rPr>
          <w:szCs w:val="20"/>
        </w:rPr>
        <w:tab/>
      </w:r>
      <w:proofErr w:type="gramStart"/>
      <w:r w:rsidRPr="001430C4">
        <w:rPr>
          <w:szCs w:val="20"/>
        </w:rPr>
        <w:t>These proposed regulations are available for inspection at the following LDEQ office locations from 8 a.m. until 4:30 p.m.:  602 N. Fifth Street, Baton Rouge, LA 70802; 1823 Highway 546, West Monroe, LA 71292; State Office Building, 1525 Fairfield Avenue, Shreveport, LA 71101; 1301 Gadwall Street, Lake Charles, LA 70615;</w:t>
      </w:r>
      <w:r w:rsidRPr="001430C4">
        <w:rPr>
          <w:rFonts w:ascii="CG Times (W1)" w:hAnsi="CG Times (W1)"/>
          <w:szCs w:val="20"/>
        </w:rPr>
        <w:t xml:space="preserve"> </w:t>
      </w:r>
      <w:r w:rsidRPr="001430C4">
        <w:rPr>
          <w:szCs w:val="20"/>
        </w:rPr>
        <w:t xml:space="preserve">111 New Center Drive, Lafayette, LA 70508; 110 </w:t>
      </w:r>
      <w:proofErr w:type="spellStart"/>
      <w:r w:rsidRPr="001430C4">
        <w:rPr>
          <w:szCs w:val="20"/>
        </w:rPr>
        <w:t>Barataria</w:t>
      </w:r>
      <w:proofErr w:type="spellEnd"/>
      <w:r w:rsidRPr="001430C4">
        <w:rPr>
          <w:szCs w:val="20"/>
        </w:rPr>
        <w:t xml:space="preserve"> Street, Lockport, LA 70374; </w:t>
      </w:r>
      <w:r w:rsidRPr="001430C4">
        <w:t>201 Evans Road, Bldg. 4, Suite 420, New Orleans, LA  70123</w:t>
      </w:r>
      <w:r w:rsidRPr="001430C4">
        <w:rPr>
          <w:szCs w:val="20"/>
        </w:rPr>
        <w:t>.</w:t>
      </w:r>
      <w:proofErr w:type="gramEnd"/>
    </w:p>
    <w:p w:rsidR="001430C4" w:rsidRPr="001430C4" w:rsidRDefault="001430C4" w:rsidP="001430C4">
      <w:pPr>
        <w:rPr>
          <w:szCs w:val="20"/>
        </w:rPr>
      </w:pPr>
    </w:p>
    <w:p w:rsidR="001430C4" w:rsidRPr="001430C4" w:rsidRDefault="001430C4" w:rsidP="001430C4">
      <w:pPr>
        <w:rPr>
          <w:szCs w:val="20"/>
        </w:rPr>
      </w:pPr>
      <w:r w:rsidRPr="001430C4">
        <w:rPr>
          <w:szCs w:val="20"/>
        </w:rPr>
        <w:tab/>
      </w:r>
      <w:r w:rsidRPr="001430C4">
        <w:rPr>
          <w:szCs w:val="20"/>
        </w:rPr>
        <w:tab/>
      </w:r>
      <w:r w:rsidRPr="001430C4">
        <w:rPr>
          <w:szCs w:val="20"/>
        </w:rPr>
        <w:tab/>
      </w:r>
      <w:r w:rsidRPr="001430C4">
        <w:rPr>
          <w:szCs w:val="20"/>
        </w:rPr>
        <w:tab/>
      </w:r>
      <w:r w:rsidRPr="001430C4">
        <w:rPr>
          <w:szCs w:val="20"/>
        </w:rPr>
        <w:tab/>
      </w:r>
      <w:r w:rsidRPr="001430C4">
        <w:rPr>
          <w:szCs w:val="20"/>
        </w:rPr>
        <w:tab/>
        <w:t>Courtney J. Burdette</w:t>
      </w:r>
    </w:p>
    <w:p w:rsidR="001430C4" w:rsidRPr="001430C4" w:rsidRDefault="001430C4" w:rsidP="001430C4">
      <w:pPr>
        <w:rPr>
          <w:szCs w:val="20"/>
        </w:rPr>
      </w:pPr>
      <w:r w:rsidRPr="001430C4">
        <w:rPr>
          <w:szCs w:val="20"/>
        </w:rPr>
        <w:tab/>
      </w:r>
      <w:r w:rsidRPr="001430C4">
        <w:rPr>
          <w:szCs w:val="20"/>
        </w:rPr>
        <w:tab/>
      </w:r>
      <w:r w:rsidRPr="001430C4">
        <w:rPr>
          <w:szCs w:val="20"/>
        </w:rPr>
        <w:tab/>
      </w:r>
      <w:r w:rsidRPr="001430C4">
        <w:rPr>
          <w:szCs w:val="20"/>
        </w:rPr>
        <w:tab/>
      </w:r>
      <w:r w:rsidRPr="001430C4">
        <w:rPr>
          <w:szCs w:val="20"/>
        </w:rPr>
        <w:tab/>
      </w:r>
      <w:r w:rsidRPr="001430C4">
        <w:rPr>
          <w:szCs w:val="20"/>
        </w:rPr>
        <w:tab/>
        <w:t>Executive Counsel</w:t>
      </w:r>
    </w:p>
    <w:p w:rsidR="001430C4" w:rsidRPr="001430C4" w:rsidRDefault="001430C4" w:rsidP="001430C4">
      <w:pPr>
        <w:widowControl w:val="0"/>
        <w:jc w:val="center"/>
        <w:rPr>
          <w:b/>
          <w:noProof/>
        </w:rPr>
      </w:pPr>
    </w:p>
    <w:p w:rsidR="001430C4" w:rsidRPr="001430C4" w:rsidRDefault="001430C4" w:rsidP="001430C4">
      <w:pPr>
        <w:widowControl w:val="0"/>
        <w:jc w:val="center"/>
        <w:rPr>
          <w:b/>
          <w:noProof/>
        </w:rPr>
      </w:pPr>
      <w:r w:rsidRPr="001430C4">
        <w:rPr>
          <w:b/>
          <w:noProof/>
        </w:rPr>
        <w:t>Title 33</w:t>
      </w:r>
    </w:p>
    <w:p w:rsidR="001430C4" w:rsidRPr="001430C4" w:rsidRDefault="001430C4" w:rsidP="001430C4">
      <w:pPr>
        <w:widowControl w:val="0"/>
        <w:jc w:val="center"/>
        <w:rPr>
          <w:b/>
          <w:noProof/>
        </w:rPr>
      </w:pPr>
      <w:r w:rsidRPr="001430C4">
        <w:rPr>
          <w:b/>
          <w:noProof/>
        </w:rPr>
        <w:t>ENVIRONMENTAL QUALITY</w:t>
      </w:r>
    </w:p>
    <w:p w:rsidR="001430C4" w:rsidRPr="001430C4" w:rsidRDefault="001430C4" w:rsidP="001430C4">
      <w:pPr>
        <w:widowControl w:val="0"/>
        <w:jc w:val="center"/>
        <w:rPr>
          <w:b/>
          <w:noProof/>
        </w:rPr>
      </w:pPr>
      <w:r w:rsidRPr="001430C4">
        <w:rPr>
          <w:b/>
          <w:noProof/>
        </w:rPr>
        <w:t>Part III  Air</w:t>
      </w:r>
    </w:p>
    <w:p w:rsidR="001430C4" w:rsidRPr="001430C4" w:rsidRDefault="001430C4" w:rsidP="001430C4">
      <w:pPr>
        <w:widowControl w:val="0"/>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720" w:hanging="720"/>
        <w:outlineLvl w:val="2"/>
        <w:rPr>
          <w:b/>
          <w:kern w:val="2"/>
        </w:rPr>
      </w:pPr>
    </w:p>
    <w:p w:rsidR="001430C4" w:rsidRPr="001430C4" w:rsidRDefault="001430C4" w:rsidP="001430C4">
      <w:pPr>
        <w:widowControl w:val="0"/>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720" w:hanging="720"/>
        <w:outlineLvl w:val="2"/>
        <w:rPr>
          <w:b/>
          <w:kern w:val="2"/>
        </w:rPr>
      </w:pPr>
      <w:bookmarkStart w:id="0" w:name="TOC_Chap20"/>
      <w:r w:rsidRPr="001430C4">
        <w:rPr>
          <w:b/>
          <w:kern w:val="2"/>
        </w:rPr>
        <w:t>Chapter 5.</w:t>
      </w:r>
      <w:bookmarkStart w:id="1" w:name="TOCT_Chap20"/>
      <w:bookmarkEnd w:id="0"/>
      <w:r w:rsidRPr="001430C4">
        <w:rPr>
          <w:b/>
          <w:kern w:val="2"/>
        </w:rPr>
        <w:tab/>
        <w:t>Permit Procedures</w:t>
      </w:r>
      <w:bookmarkEnd w:id="1"/>
    </w:p>
    <w:p w:rsidR="001430C4" w:rsidRPr="001430C4" w:rsidRDefault="001430C4" w:rsidP="001430C4">
      <w:pPr>
        <w:widowControl w:val="0"/>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720" w:hanging="720"/>
        <w:outlineLvl w:val="2"/>
        <w:rPr>
          <w:b/>
          <w:kern w:val="2"/>
        </w:rPr>
      </w:pPr>
      <w:r w:rsidRPr="001430C4">
        <w:rPr>
          <w:b/>
          <w:kern w:val="2"/>
        </w:rPr>
        <w:t>§506.</w:t>
      </w:r>
      <w:r w:rsidRPr="001430C4">
        <w:rPr>
          <w:b/>
          <w:kern w:val="2"/>
        </w:rPr>
        <w:tab/>
      </w:r>
      <w:r w:rsidRPr="001430C4">
        <w:rPr>
          <w:b/>
          <w:strike/>
          <w:kern w:val="2"/>
        </w:rPr>
        <w:t xml:space="preserve">Clean Air Interstate Rule </w:t>
      </w:r>
      <w:proofErr w:type="spellStart"/>
      <w:r w:rsidRPr="001430C4">
        <w:rPr>
          <w:b/>
          <w:strike/>
          <w:kern w:val="2"/>
        </w:rPr>
        <w:t>Requirements</w:t>
      </w:r>
      <w:r w:rsidR="00CF27E0">
        <w:rPr>
          <w:b/>
          <w:kern w:val="2"/>
          <w:u w:val="single"/>
        </w:rPr>
        <w:t>Repealed</w:t>
      </w:r>
      <w:proofErr w:type="spellEnd"/>
      <w:r w:rsidRPr="001430C4">
        <w:rPr>
          <w:b/>
          <w:kern w:val="2"/>
          <w:u w:val="single"/>
        </w:rPr>
        <w:t>.</w:t>
      </w:r>
    </w:p>
    <w:p w:rsidR="001430C4" w:rsidRPr="001430C4" w:rsidRDefault="001430C4" w:rsidP="001430C4">
      <w:pPr>
        <w:widowControl w:val="0"/>
        <w:tabs>
          <w:tab w:val="left" w:pos="720"/>
        </w:tabs>
        <w:spacing w:after="120" w:line="480" w:lineRule="auto"/>
        <w:jc w:val="both"/>
        <w:outlineLvl w:val="3"/>
        <w:rPr>
          <w:strike/>
          <w:kern w:val="2"/>
        </w:rPr>
      </w:pPr>
      <w:r w:rsidRPr="001430C4">
        <w:rPr>
          <w:kern w:val="2"/>
        </w:rPr>
        <w:tab/>
      </w:r>
      <w:r w:rsidRPr="001430C4">
        <w:rPr>
          <w:strike/>
          <w:kern w:val="2"/>
        </w:rPr>
        <w:t>A.</w:t>
      </w:r>
      <w:r w:rsidRPr="001430C4">
        <w:rPr>
          <w:strike/>
          <w:kern w:val="2"/>
        </w:rPr>
        <w:tab/>
        <w:t>Clean Air Interstate Rule (CAIR) Nitrogen Oxide (NO</w:t>
      </w:r>
      <w:r w:rsidRPr="001430C4">
        <w:rPr>
          <w:strike/>
          <w:kern w:val="2"/>
          <w:vertAlign w:val="subscript"/>
        </w:rPr>
        <w:t>x</w:t>
      </w:r>
      <w:r w:rsidRPr="001430C4">
        <w:rPr>
          <w:strike/>
          <w:kern w:val="2"/>
        </w:rPr>
        <w:t>) Annual Program. This Subsection is adopted in lieu of 40 CFR 97.141 and 97.142 as promulgated under the CAIR Federal Implementation Plan (FIP) NO</w:t>
      </w:r>
      <w:r w:rsidRPr="001430C4">
        <w:rPr>
          <w:strike/>
          <w:kern w:val="2"/>
          <w:vertAlign w:val="subscript"/>
        </w:rPr>
        <w:t>x</w:t>
      </w:r>
      <w:r w:rsidRPr="001430C4">
        <w:rPr>
          <w:strike/>
          <w:kern w:val="2"/>
        </w:rPr>
        <w:t xml:space="preserve"> Annual Trading Program on April 28, 2006, at 71 FR 25328-25469 and as amended on October 19, 2007, at 72 FR 59190-59207. All provisions of 40 CFR Part 97, Subparts AA-HH, continue to apply, with the exception of §97.141 (Timing Requirements for </w:t>
      </w:r>
      <w:r w:rsidRPr="001430C4">
        <w:rPr>
          <w:strike/>
          <w:kern w:val="2"/>
        </w:rPr>
        <w:lastRenderedPageBreak/>
        <w:t>CAIR NO</w:t>
      </w:r>
      <w:r w:rsidRPr="001430C4">
        <w:rPr>
          <w:strike/>
          <w:kern w:val="2"/>
          <w:vertAlign w:val="subscript"/>
        </w:rPr>
        <w:t>x</w:t>
      </w:r>
      <w:r w:rsidRPr="001430C4">
        <w:rPr>
          <w:strike/>
          <w:kern w:val="2"/>
        </w:rPr>
        <w:t xml:space="preserve"> Allowance Allocations) and §97.142 (CAIR NO</w:t>
      </w:r>
      <w:r w:rsidRPr="001430C4">
        <w:rPr>
          <w:strike/>
          <w:kern w:val="2"/>
          <w:vertAlign w:val="subscript"/>
        </w:rPr>
        <w:t>x</w:t>
      </w:r>
      <w:r w:rsidRPr="001430C4">
        <w:rPr>
          <w:strike/>
          <w:kern w:val="2"/>
        </w:rPr>
        <w:t xml:space="preserve"> Allowance Allocations). The provisions of this Subsection state how the CAIR NO</w:t>
      </w:r>
      <w:r w:rsidRPr="001430C4">
        <w:rPr>
          <w:strike/>
          <w:kern w:val="2"/>
          <w:vertAlign w:val="subscript"/>
        </w:rPr>
        <w:t>x</w:t>
      </w:r>
      <w:r w:rsidRPr="001430C4">
        <w:rPr>
          <w:strike/>
          <w:kern w:val="2"/>
        </w:rPr>
        <w:t xml:space="preserve"> annual allowances shall be allocated in accordance with this Section and 40 CFR 97.144(a).</w:t>
      </w:r>
    </w:p>
    <w:p w:rsidR="001430C4" w:rsidRPr="001430C4" w:rsidRDefault="001430C4" w:rsidP="001430C4">
      <w:pPr>
        <w:tabs>
          <w:tab w:val="left" w:pos="720"/>
        </w:tabs>
        <w:spacing w:after="80" w:line="480" w:lineRule="auto"/>
        <w:jc w:val="both"/>
        <w:outlineLvl w:val="4"/>
        <w:rPr>
          <w:strike/>
          <w:kern w:val="2"/>
        </w:rPr>
      </w:pPr>
      <w:r w:rsidRPr="001430C4">
        <w:rPr>
          <w:kern w:val="2"/>
        </w:rPr>
        <w:tab/>
      </w:r>
      <w:r w:rsidRPr="001430C4">
        <w:rPr>
          <w:kern w:val="2"/>
        </w:rPr>
        <w:tab/>
      </w:r>
      <w:r w:rsidRPr="001430C4">
        <w:rPr>
          <w:strike/>
          <w:kern w:val="2"/>
        </w:rPr>
        <w:t>1.</w:t>
      </w:r>
      <w:r w:rsidRPr="001430C4">
        <w:rPr>
          <w:strike/>
          <w:kern w:val="2"/>
        </w:rPr>
        <w:tab/>
        <w:t>Definitions. The terms used in Subsection A of this Section have the meaning given to them in the CAIR FIP (40 CFR Part 97 as promulgated on April 28, 2006), except for those terms defined herein.</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Certified Unit</w:t>
      </w:r>
      <w:r w:rsidRPr="001430C4">
        <w:rPr>
          <w:strike/>
          <w:kern w:val="2"/>
        </w:rPr>
        <w:sym w:font="Symbol" w:char="F0BE"/>
      </w:r>
      <w:r w:rsidRPr="001430C4">
        <w:rPr>
          <w:strike/>
          <w:kern w:val="2"/>
        </w:rPr>
        <w:t>an electricity-generating unit that has been certified by the LPSC or approved by a municipal authority but was not in operation on, or approved by, December 31, 2004.</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Department</w:t>
      </w:r>
      <w:r w:rsidRPr="001430C4">
        <w:rPr>
          <w:strike/>
          <w:kern w:val="2"/>
        </w:rPr>
        <w:sym w:font="Symbol" w:char="F0BE"/>
      </w:r>
      <w:r w:rsidRPr="001430C4">
        <w:rPr>
          <w:strike/>
          <w:kern w:val="2"/>
        </w:rPr>
        <w:t>the Louisiana Department of Environmental Quality.</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proofErr w:type="gramStart"/>
      <w:r w:rsidRPr="001430C4">
        <w:rPr>
          <w:i/>
          <w:strike/>
          <w:kern w:val="2"/>
        </w:rPr>
        <w:t>Electric Public Utility</w:t>
      </w:r>
      <w:r w:rsidRPr="001430C4">
        <w:rPr>
          <w:strike/>
          <w:kern w:val="2"/>
        </w:rPr>
        <w:sym w:font="Symbol" w:char="F0BE"/>
      </w:r>
      <w:r w:rsidRPr="001430C4">
        <w:rPr>
          <w:strike/>
          <w:kern w:val="2"/>
        </w:rPr>
        <w:t xml:space="preserve">any person furnishing electric service within this state, including any electric cooperative transacting business in this state, provided, however, that the term shall not be construed to apply to any co-generator who consumes any or all of the electric power and energy that it generates or to any independent power producer who sells its entire production of electric power and energy to an </w:t>
      </w:r>
      <w:r w:rsidRPr="001430C4">
        <w:rPr>
          <w:i/>
          <w:strike/>
          <w:kern w:val="2"/>
        </w:rPr>
        <w:t>electric public utility</w:t>
      </w:r>
      <w:r w:rsidRPr="001430C4">
        <w:rPr>
          <w:strike/>
          <w:kern w:val="2"/>
        </w:rPr>
        <w:t xml:space="preserve"> as herein defined.</w:t>
      </w:r>
      <w:proofErr w:type="gramEnd"/>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Fuel Types</w:t>
      </w:r>
      <w:r w:rsidRPr="001430C4">
        <w:rPr>
          <w:strike/>
          <w:kern w:val="2"/>
        </w:rPr>
        <w:sym w:font="Symbol" w:char="F0BE"/>
      </w:r>
      <w:r w:rsidRPr="001430C4">
        <w:rPr>
          <w:strike/>
          <w:kern w:val="2"/>
        </w:rPr>
        <w:t xml:space="preserve">for the allocation of allowances under Louisiana's program, </w:t>
      </w:r>
      <w:r w:rsidRPr="001430C4">
        <w:rPr>
          <w:i/>
          <w:strike/>
          <w:kern w:val="2"/>
        </w:rPr>
        <w:t>fuel types</w:t>
      </w:r>
      <w:r w:rsidRPr="001430C4">
        <w:rPr>
          <w:strike/>
          <w:kern w:val="2"/>
        </w:rPr>
        <w:t xml:space="preserve"> include solid, gaseous, or liquid fuel. The following definitions apply to </w:t>
      </w:r>
      <w:r w:rsidRPr="001430C4">
        <w:rPr>
          <w:i/>
          <w:strike/>
          <w:kern w:val="2"/>
        </w:rPr>
        <w:t>fuel types</w:t>
      </w:r>
      <w:r w:rsidRPr="001430C4">
        <w:rPr>
          <w:strike/>
          <w:kern w:val="2"/>
        </w:rPr>
        <w:t>.</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proofErr w:type="spellStart"/>
      <w:r w:rsidRPr="001430C4">
        <w:rPr>
          <w:strike/>
          <w:kern w:val="2"/>
        </w:rPr>
        <w:t>i</w:t>
      </w:r>
      <w:proofErr w:type="spellEnd"/>
      <w:r w:rsidRPr="001430C4">
        <w:rPr>
          <w:strike/>
          <w:kern w:val="2"/>
        </w:rPr>
        <w:t>.</w:t>
      </w:r>
      <w:r w:rsidRPr="001430C4">
        <w:rPr>
          <w:strike/>
          <w:kern w:val="2"/>
        </w:rPr>
        <w:tab/>
      </w:r>
      <w:r w:rsidRPr="001430C4">
        <w:rPr>
          <w:i/>
          <w:strike/>
          <w:kern w:val="2"/>
        </w:rPr>
        <w:t>Solid Fuel</w:t>
      </w:r>
      <w:r w:rsidRPr="001430C4">
        <w:rPr>
          <w:strike/>
          <w:kern w:val="2"/>
        </w:rPr>
        <w:sym w:font="Symbol" w:char="F0BE"/>
      </w:r>
      <w:r w:rsidRPr="001430C4">
        <w:rPr>
          <w:strike/>
          <w:kern w:val="2"/>
        </w:rPr>
        <w:t>includes, but is not limited to, coal and petroleum coke. Any amount of solid fuel that is combusted, alone, in series, or in combination with any other fuel, during any control period shall meet the definition of solid fuel.</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r w:rsidRPr="001430C4">
        <w:rPr>
          <w:strike/>
          <w:kern w:val="2"/>
        </w:rPr>
        <w:t>ii.</w:t>
      </w:r>
      <w:r w:rsidRPr="001430C4">
        <w:rPr>
          <w:strike/>
          <w:kern w:val="2"/>
        </w:rPr>
        <w:tab/>
      </w:r>
      <w:r w:rsidRPr="001430C4">
        <w:rPr>
          <w:i/>
          <w:strike/>
          <w:kern w:val="2"/>
        </w:rPr>
        <w:t>Gaseous Fuel</w:t>
      </w:r>
      <w:r w:rsidRPr="001430C4">
        <w:rPr>
          <w:strike/>
          <w:kern w:val="2"/>
        </w:rPr>
        <w:sym w:font="Symbol" w:char="F0BE"/>
      </w:r>
      <w:r w:rsidRPr="001430C4">
        <w:rPr>
          <w:strike/>
          <w:kern w:val="2"/>
        </w:rPr>
        <w:t xml:space="preserve">includes, but is not limited to, natural gas, propane, coal gas, and blast furnace gas. Any mixture containing at least 50 percent of gaseous </w:t>
      </w:r>
      <w:r w:rsidRPr="001430C4">
        <w:rPr>
          <w:strike/>
          <w:kern w:val="2"/>
        </w:rPr>
        <w:lastRenderedPageBreak/>
        <w:t>fuel that is combusted with any liquid fuel during any control period shall meet the definition of gaseous fuel.</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r w:rsidRPr="001430C4">
        <w:rPr>
          <w:strike/>
          <w:kern w:val="2"/>
        </w:rPr>
        <w:t>iii.</w:t>
      </w:r>
      <w:r w:rsidRPr="001430C4">
        <w:rPr>
          <w:strike/>
          <w:kern w:val="2"/>
        </w:rPr>
        <w:tab/>
      </w:r>
      <w:r w:rsidRPr="001430C4">
        <w:rPr>
          <w:i/>
          <w:strike/>
          <w:kern w:val="2"/>
        </w:rPr>
        <w:t>Liquid Fuel</w:t>
      </w:r>
      <w:r w:rsidRPr="001430C4">
        <w:rPr>
          <w:strike/>
          <w:kern w:val="2"/>
        </w:rPr>
        <w:sym w:font="Symbol" w:char="F0BE"/>
      </w:r>
      <w:r w:rsidRPr="001430C4">
        <w:rPr>
          <w:strike/>
          <w:kern w:val="2"/>
        </w:rPr>
        <w:t>includes, but is not limited to, petroleum-based oils and glycerol.</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LPSC</w:t>
      </w:r>
      <w:r w:rsidRPr="001430C4">
        <w:rPr>
          <w:strike/>
          <w:kern w:val="2"/>
        </w:rPr>
        <w:sym w:font="Symbol" w:char="F0BE"/>
      </w:r>
      <w:r w:rsidRPr="001430C4">
        <w:rPr>
          <w:strike/>
          <w:kern w:val="2"/>
        </w:rPr>
        <w:t>the Louisiana Public Service Commission.</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 xml:space="preserve">LPSC </w:t>
      </w:r>
      <w:r w:rsidRPr="001430C4">
        <w:rPr>
          <w:strike/>
          <w:kern w:val="2"/>
        </w:rPr>
        <w:t>or</w:t>
      </w:r>
      <w:r w:rsidRPr="001430C4">
        <w:rPr>
          <w:i/>
          <w:strike/>
          <w:kern w:val="2"/>
        </w:rPr>
        <w:t xml:space="preserve"> Municipal Certification</w:t>
      </w:r>
      <w:r w:rsidRPr="001430C4">
        <w:rPr>
          <w:strike/>
          <w:kern w:val="2"/>
        </w:rPr>
        <w:sym w:font="Symbol" w:char="F0BE"/>
      </w:r>
      <w:r w:rsidRPr="001430C4">
        <w:rPr>
          <w:strike/>
          <w:kern w:val="2"/>
        </w:rPr>
        <w:t xml:space="preserve">the process under which the LPSC certifies, or the relevant municipal authority </w:t>
      </w:r>
      <w:proofErr w:type="gramStart"/>
      <w:r w:rsidRPr="001430C4">
        <w:rPr>
          <w:strike/>
          <w:kern w:val="2"/>
        </w:rPr>
        <w:t>approves,</w:t>
      </w:r>
      <w:proofErr w:type="gramEnd"/>
      <w:r w:rsidRPr="001430C4">
        <w:rPr>
          <w:strike/>
          <w:kern w:val="2"/>
        </w:rPr>
        <w:t xml:space="preserve"> construction, conversion, or repowering of an electricity-generating unit as being in the public convenience and necessity. This process includes the certification or approval of long-term contracts that dedicate a portion of the electrical output of any generation facility to a utility unit. Long-term contracts are those contracts of at least one year in duration, </w:t>
      </w:r>
      <w:proofErr w:type="gramStart"/>
      <w:r w:rsidRPr="001430C4">
        <w:rPr>
          <w:strike/>
          <w:kern w:val="2"/>
        </w:rPr>
        <w:t>provided that</w:t>
      </w:r>
      <w:proofErr w:type="gramEnd"/>
      <w:r w:rsidRPr="001430C4">
        <w:rPr>
          <w:strike/>
          <w:kern w:val="2"/>
        </w:rPr>
        <w:t xml:space="preserve"> the municipality or utility unit expects to receive power under the contract within one year of the contract execution.</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Municipal Authority</w:t>
      </w:r>
      <w:r w:rsidRPr="001430C4">
        <w:rPr>
          <w:strike/>
          <w:kern w:val="2"/>
        </w:rPr>
        <w:sym w:font="Symbol" w:char="F0BE"/>
      </w:r>
      <w:r w:rsidRPr="001430C4">
        <w:rPr>
          <w:strike/>
          <w:kern w:val="2"/>
        </w:rPr>
        <w:t>a municipal corporation, public power authority, or other political subdivision including, but not limited to, the Louisiana Energy and Power Authority.</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Non-Utility Unit</w:t>
      </w:r>
      <w:r w:rsidRPr="001430C4">
        <w:rPr>
          <w:strike/>
          <w:kern w:val="2"/>
        </w:rPr>
        <w:sym w:font="Symbol" w:char="F0BE"/>
      </w:r>
      <w:r w:rsidRPr="001430C4">
        <w:rPr>
          <w:strike/>
          <w:kern w:val="2"/>
        </w:rPr>
        <w:t xml:space="preserve">an electricity-generating unit that has not been certified by the LPSC or </w:t>
      </w:r>
      <w:r w:rsidRPr="001430C4">
        <w:rPr>
          <w:bCs/>
          <w:strike/>
          <w:kern w:val="2"/>
        </w:rPr>
        <w:t>approved by</w:t>
      </w:r>
      <w:r w:rsidRPr="001430C4">
        <w:rPr>
          <w:strike/>
          <w:kern w:val="2"/>
        </w:rPr>
        <w:t xml:space="preserve"> a municipal authority, and that does not have an effective and active long-term contract with a utility unit. This includes, but is not limited to, units owned by independent power producers (IPPs) that are the owners or operators of electricity-generating units that produce electricity for sale, and </w:t>
      </w:r>
      <w:r w:rsidRPr="001430C4">
        <w:rPr>
          <w:i/>
          <w:strike/>
          <w:kern w:val="2"/>
        </w:rPr>
        <w:t>cogeneration units</w:t>
      </w:r>
      <w:r w:rsidRPr="001430C4">
        <w:rPr>
          <w:strike/>
          <w:kern w:val="2"/>
        </w:rPr>
        <w:t xml:space="preserve"> as defined in 40 CFR Part 97.</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Utility Unit</w:t>
      </w:r>
      <w:r w:rsidRPr="001430C4">
        <w:rPr>
          <w:strike/>
          <w:kern w:val="2"/>
        </w:rPr>
        <w:sym w:font="Symbol" w:char="F0BE"/>
      </w:r>
      <w:r w:rsidRPr="001430C4">
        <w:rPr>
          <w:strike/>
          <w:kern w:val="2"/>
        </w:rPr>
        <w:t>a certified unit that is in operation, a previously-operational certified unit,</w:t>
      </w:r>
      <w:r w:rsidRPr="001430C4">
        <w:rPr>
          <w:rFonts w:eastAsia="MS PGothic"/>
          <w:strike/>
          <w:kern w:val="2"/>
        </w:rPr>
        <w:t xml:space="preserve"> a non-utility unit purchased by an electric public utility,</w:t>
      </w:r>
      <w:r w:rsidRPr="001430C4">
        <w:rPr>
          <w:strike/>
          <w:kern w:val="2"/>
        </w:rPr>
        <w:t xml:space="preserve"> or a non-utility unit that has an effective and active long-term contract with a utility unit. Long-term contracts are those </w:t>
      </w:r>
      <w:r w:rsidRPr="001430C4">
        <w:rPr>
          <w:strike/>
          <w:kern w:val="2"/>
        </w:rPr>
        <w:lastRenderedPageBreak/>
        <w:t xml:space="preserve">contracts of at least one year in duration, </w:t>
      </w:r>
      <w:proofErr w:type="gramStart"/>
      <w:r w:rsidRPr="001430C4">
        <w:rPr>
          <w:strike/>
          <w:kern w:val="2"/>
        </w:rPr>
        <w:t>provided that</w:t>
      </w:r>
      <w:proofErr w:type="gramEnd"/>
      <w:r w:rsidRPr="001430C4">
        <w:rPr>
          <w:strike/>
          <w:kern w:val="2"/>
        </w:rPr>
        <w:t xml:space="preserve"> the municipality or utility unit expects to receive power under the contract within one year of the contract execution.</w:t>
      </w:r>
    </w:p>
    <w:p w:rsidR="001430C4" w:rsidRPr="001430C4" w:rsidRDefault="001430C4" w:rsidP="001430C4">
      <w:pPr>
        <w:tabs>
          <w:tab w:val="left" w:pos="720"/>
        </w:tabs>
        <w:spacing w:line="480" w:lineRule="auto"/>
        <w:jc w:val="both"/>
        <w:outlineLvl w:val="4"/>
        <w:rPr>
          <w:strike/>
          <w:kern w:val="2"/>
        </w:rPr>
      </w:pPr>
      <w:r w:rsidRPr="001430C4">
        <w:rPr>
          <w:kern w:val="2"/>
        </w:rPr>
        <w:tab/>
      </w:r>
      <w:r w:rsidRPr="001430C4">
        <w:rPr>
          <w:kern w:val="2"/>
        </w:rPr>
        <w:tab/>
      </w:r>
      <w:r w:rsidRPr="001430C4">
        <w:rPr>
          <w:strike/>
          <w:kern w:val="2"/>
        </w:rPr>
        <w:t>2.</w:t>
      </w:r>
      <w:r w:rsidRPr="001430C4">
        <w:rPr>
          <w:strike/>
          <w:kern w:val="2"/>
        </w:rPr>
        <w:tab/>
        <w:t>Allocation of CAIR NO</w:t>
      </w:r>
      <w:r w:rsidRPr="001430C4">
        <w:rPr>
          <w:strike/>
          <w:kern w:val="2"/>
          <w:vertAlign w:val="subscript"/>
        </w:rPr>
        <w:t>x</w:t>
      </w:r>
      <w:r w:rsidRPr="001430C4">
        <w:rPr>
          <w:strike/>
          <w:kern w:val="2"/>
        </w:rPr>
        <w:t xml:space="preserve"> Annual Allowances. Total NO</w:t>
      </w:r>
      <w:r w:rsidRPr="001430C4">
        <w:rPr>
          <w:strike/>
          <w:kern w:val="2"/>
          <w:vertAlign w:val="subscript"/>
        </w:rPr>
        <w:t>x</w:t>
      </w:r>
      <w:r w:rsidRPr="001430C4">
        <w:rPr>
          <w:strike/>
          <w:kern w:val="2"/>
        </w:rPr>
        <w:t xml:space="preserve"> allowances allocated per control period shall not be in excess of the CAIR NO</w:t>
      </w:r>
      <w:r w:rsidRPr="001430C4">
        <w:rPr>
          <w:strike/>
          <w:kern w:val="2"/>
          <w:vertAlign w:val="subscript"/>
        </w:rPr>
        <w:t>x</w:t>
      </w:r>
      <w:r w:rsidRPr="001430C4">
        <w:rPr>
          <w:strike/>
          <w:kern w:val="2"/>
        </w:rPr>
        <w:t xml:space="preserve"> annual budget as found in 40 CFR 97.140 (35,512 tons per control period from 2009-2014 and 29,593 tons per control period thereafter).</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a.</w:t>
      </w:r>
      <w:r w:rsidRPr="001430C4">
        <w:rPr>
          <w:strike/>
          <w:kern w:val="2"/>
        </w:rPr>
        <w:tab/>
        <w:t>Non-Utility Units. For each CAIR non-utility unit, the NO</w:t>
      </w:r>
      <w:r w:rsidRPr="001430C4">
        <w:rPr>
          <w:strike/>
          <w:kern w:val="2"/>
          <w:vertAlign w:val="subscript"/>
        </w:rPr>
        <w:t>x</w:t>
      </w:r>
      <w:r w:rsidRPr="001430C4">
        <w:rPr>
          <w:strike/>
          <w:kern w:val="2"/>
        </w:rPr>
        <w:t xml:space="preserve"> allowances shall be equal to the average of the actual NO</w:t>
      </w:r>
      <w:r w:rsidRPr="001430C4">
        <w:rPr>
          <w:strike/>
          <w:kern w:val="2"/>
          <w:vertAlign w:val="subscript"/>
        </w:rPr>
        <w:t>x</w:t>
      </w:r>
      <w:r w:rsidRPr="001430C4">
        <w:rPr>
          <w:strike/>
          <w:kern w:val="2"/>
        </w:rPr>
        <w:t xml:space="preserve"> annual emissions of the three calendar years immediately preceding the year in which the control period allocations </w:t>
      </w:r>
      <w:proofErr w:type="gramStart"/>
      <w:r w:rsidRPr="001430C4">
        <w:rPr>
          <w:strike/>
          <w:kern w:val="2"/>
        </w:rPr>
        <w:t>are submitted</w:t>
      </w:r>
      <w:proofErr w:type="gramEnd"/>
      <w:r w:rsidRPr="001430C4">
        <w:rPr>
          <w:strike/>
          <w:kern w:val="2"/>
        </w:rPr>
        <w:t xml:space="preserve"> to the administrator. The actual NO</w:t>
      </w:r>
      <w:r w:rsidRPr="001430C4">
        <w:rPr>
          <w:strike/>
          <w:kern w:val="2"/>
          <w:vertAlign w:val="subscript"/>
        </w:rPr>
        <w:t>x</w:t>
      </w:r>
      <w:r w:rsidRPr="001430C4">
        <w:rPr>
          <w:strike/>
          <w:kern w:val="2"/>
        </w:rPr>
        <w:t xml:space="preserve"> annual emissions as reported in the emission inventory required by LAC </w:t>
      </w:r>
      <w:proofErr w:type="gramStart"/>
      <w:r w:rsidRPr="001430C4">
        <w:rPr>
          <w:strike/>
          <w:kern w:val="2"/>
        </w:rPr>
        <w:t>33:</w:t>
      </w:r>
      <w:proofErr w:type="gramEnd"/>
      <w:r w:rsidRPr="001430C4">
        <w:rPr>
          <w:strike/>
          <w:kern w:val="2"/>
        </w:rPr>
        <w:t>III.919 shall be used, except that the allowances submitted in 2007 shall use the actual NO</w:t>
      </w:r>
      <w:r w:rsidRPr="001430C4">
        <w:rPr>
          <w:strike/>
          <w:kern w:val="2"/>
          <w:vertAlign w:val="subscript"/>
        </w:rPr>
        <w:t>x</w:t>
      </w:r>
      <w:r w:rsidRPr="001430C4">
        <w:rPr>
          <w:strike/>
          <w:kern w:val="2"/>
        </w:rPr>
        <w:t xml:space="preserve"> emissions for calendar years 2002, 2003, and 2004. When data is not available in the emission inventory, data reported to the Federal Acid Rain Program </w:t>
      </w:r>
      <w:proofErr w:type="gramStart"/>
      <w:r w:rsidRPr="001430C4">
        <w:rPr>
          <w:strike/>
          <w:kern w:val="2"/>
        </w:rPr>
        <w:t>shall be used</w:t>
      </w:r>
      <w:proofErr w:type="gramEnd"/>
      <w:r w:rsidRPr="001430C4">
        <w:rPr>
          <w:strike/>
          <w:kern w:val="2"/>
        </w:rPr>
        <w:t>. When actual reported NO</w:t>
      </w:r>
      <w:r w:rsidRPr="001430C4">
        <w:rPr>
          <w:strike/>
          <w:kern w:val="2"/>
          <w:vertAlign w:val="subscript"/>
        </w:rPr>
        <w:t>x</w:t>
      </w:r>
      <w:r w:rsidRPr="001430C4">
        <w:rPr>
          <w:strike/>
          <w:kern w:val="2"/>
        </w:rPr>
        <w:t xml:space="preserve"> annual emissions data are available for only two of the three calendar years immediately preceding the deadline for submission of the control period allocations, the average of the actual reported NO</w:t>
      </w:r>
      <w:r w:rsidRPr="001430C4">
        <w:rPr>
          <w:strike/>
          <w:kern w:val="2"/>
          <w:vertAlign w:val="subscript"/>
        </w:rPr>
        <w:t>x</w:t>
      </w:r>
      <w:r w:rsidRPr="001430C4">
        <w:rPr>
          <w:strike/>
          <w:kern w:val="2"/>
        </w:rPr>
        <w:t xml:space="preserve"> annual emissions data for those two years </w:t>
      </w:r>
      <w:proofErr w:type="gramStart"/>
      <w:r w:rsidRPr="001430C4">
        <w:rPr>
          <w:strike/>
          <w:kern w:val="2"/>
        </w:rPr>
        <w:t>shall be used</w:t>
      </w:r>
      <w:proofErr w:type="gramEnd"/>
      <w:r w:rsidRPr="001430C4">
        <w:rPr>
          <w:strike/>
          <w:kern w:val="2"/>
        </w:rPr>
        <w:t>. When actual reported NO</w:t>
      </w:r>
      <w:r w:rsidRPr="001430C4">
        <w:rPr>
          <w:strike/>
          <w:kern w:val="2"/>
          <w:vertAlign w:val="subscript"/>
        </w:rPr>
        <w:t>x</w:t>
      </w:r>
      <w:r w:rsidRPr="001430C4">
        <w:rPr>
          <w:strike/>
          <w:kern w:val="2"/>
        </w:rPr>
        <w:t xml:space="preserve"> annual emissions data are available for only one of the three calendar years, the actual reported NO</w:t>
      </w:r>
      <w:r w:rsidRPr="001430C4">
        <w:rPr>
          <w:strike/>
          <w:kern w:val="2"/>
          <w:vertAlign w:val="subscript"/>
        </w:rPr>
        <w:t>x</w:t>
      </w:r>
      <w:r w:rsidRPr="001430C4">
        <w:rPr>
          <w:strike/>
          <w:kern w:val="2"/>
        </w:rPr>
        <w:t xml:space="preserve"> annual emissions data for that one year </w:t>
      </w:r>
      <w:proofErr w:type="gramStart"/>
      <w:r w:rsidRPr="001430C4">
        <w:rPr>
          <w:strike/>
          <w:kern w:val="2"/>
        </w:rPr>
        <w:t>shall be used</w:t>
      </w:r>
      <w:proofErr w:type="gramEnd"/>
      <w:r w:rsidRPr="001430C4">
        <w:rPr>
          <w:strike/>
          <w:kern w:val="2"/>
        </w:rPr>
        <w:t>. When no actual reported NO</w:t>
      </w:r>
      <w:r w:rsidRPr="001430C4">
        <w:rPr>
          <w:strike/>
          <w:kern w:val="2"/>
          <w:vertAlign w:val="subscript"/>
        </w:rPr>
        <w:t>x</w:t>
      </w:r>
      <w:r w:rsidRPr="001430C4">
        <w:rPr>
          <w:strike/>
          <w:kern w:val="2"/>
        </w:rPr>
        <w:t xml:space="preserve"> annual emissions data for any of the three calendar years are available, no allocations </w:t>
      </w:r>
      <w:proofErr w:type="gramStart"/>
      <w:r w:rsidRPr="001430C4">
        <w:rPr>
          <w:strike/>
          <w:kern w:val="2"/>
        </w:rPr>
        <w:t>shall be made</w:t>
      </w:r>
      <w:proofErr w:type="gramEnd"/>
      <w:r w:rsidRPr="001430C4">
        <w:rPr>
          <w:strike/>
          <w:kern w:val="2"/>
        </w:rPr>
        <w:t xml:space="preserve"> under this Paragraph.</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b.</w:t>
      </w:r>
      <w:r w:rsidRPr="001430C4">
        <w:rPr>
          <w:strike/>
          <w:kern w:val="2"/>
        </w:rPr>
        <w:tab/>
        <w:t xml:space="preserve">Certified Units. A certified and permitted unit subject to CAIR </w:t>
      </w:r>
      <w:proofErr w:type="gramStart"/>
      <w:r w:rsidRPr="001430C4">
        <w:rPr>
          <w:strike/>
          <w:kern w:val="2"/>
        </w:rPr>
        <w:t>shall be allocated</w:t>
      </w:r>
      <w:proofErr w:type="gramEnd"/>
      <w:r w:rsidRPr="001430C4">
        <w:rPr>
          <w:strike/>
          <w:kern w:val="2"/>
        </w:rPr>
        <w:t xml:space="preserve"> NO</w:t>
      </w:r>
      <w:r w:rsidRPr="001430C4">
        <w:rPr>
          <w:strike/>
          <w:kern w:val="2"/>
          <w:vertAlign w:val="subscript"/>
        </w:rPr>
        <w:t>x</w:t>
      </w:r>
      <w:r w:rsidRPr="001430C4">
        <w:rPr>
          <w:strike/>
          <w:kern w:val="2"/>
        </w:rPr>
        <w:t xml:space="preserve"> allowances for the control period in which the unit will begin operation, and for each successive control period, for which no NO</w:t>
      </w:r>
      <w:r w:rsidRPr="001430C4">
        <w:rPr>
          <w:strike/>
          <w:kern w:val="2"/>
          <w:vertAlign w:val="subscript"/>
        </w:rPr>
        <w:t>x</w:t>
      </w:r>
      <w:r w:rsidRPr="001430C4">
        <w:rPr>
          <w:strike/>
          <w:kern w:val="2"/>
        </w:rPr>
        <w:t xml:space="preserve"> allowances have been previously allocated until </w:t>
      </w:r>
      <w:r w:rsidRPr="001430C4">
        <w:rPr>
          <w:strike/>
          <w:kern w:val="2"/>
        </w:rPr>
        <w:lastRenderedPageBreak/>
        <w:t xml:space="preserve">operating data are available for the three calendar years immediately preceding the deadline for submission of the control period allocations. Until a unit has three calendar years of operating data immediately preceding the allocation submittal deadline, the converted heat input as calculated in Clause A.2.b.i or ii of this Section </w:t>
      </w:r>
      <w:proofErr w:type="gramStart"/>
      <w:r w:rsidRPr="001430C4">
        <w:rPr>
          <w:strike/>
          <w:kern w:val="2"/>
        </w:rPr>
        <w:t>shall be used</w:t>
      </w:r>
      <w:proofErr w:type="gramEnd"/>
      <w:r w:rsidRPr="001430C4">
        <w:rPr>
          <w:strike/>
          <w:kern w:val="2"/>
        </w:rPr>
        <w:t xml:space="preserve"> to allocate allowances for the unit. The certified unit </w:t>
      </w:r>
      <w:proofErr w:type="gramStart"/>
      <w:r w:rsidRPr="001430C4">
        <w:rPr>
          <w:strike/>
          <w:kern w:val="2"/>
        </w:rPr>
        <w:t>shall be treated</w:t>
      </w:r>
      <w:proofErr w:type="gramEnd"/>
      <w:r w:rsidRPr="001430C4">
        <w:rPr>
          <w:strike/>
          <w:kern w:val="2"/>
        </w:rPr>
        <w:t xml:space="preserve"> as a utility unit for the purposes of this allocation, except that converted heat input shall be used instead of adjusted heat input. Repowered utility units </w:t>
      </w:r>
      <w:proofErr w:type="gramStart"/>
      <w:r w:rsidRPr="001430C4">
        <w:rPr>
          <w:strike/>
          <w:kern w:val="2"/>
        </w:rPr>
        <w:t>will be allocated</w:t>
      </w:r>
      <w:proofErr w:type="gramEnd"/>
      <w:r w:rsidRPr="001430C4">
        <w:rPr>
          <w:strike/>
          <w:kern w:val="2"/>
        </w:rPr>
        <w:t xml:space="preserve"> in the same manner as certified units in the control period of certification. Converted heat input </w:t>
      </w:r>
      <w:proofErr w:type="gramStart"/>
      <w:r w:rsidRPr="001430C4">
        <w:rPr>
          <w:strike/>
          <w:kern w:val="2"/>
        </w:rPr>
        <w:t>is calculated</w:t>
      </w:r>
      <w:proofErr w:type="gramEnd"/>
      <w:r w:rsidRPr="001430C4">
        <w:rPr>
          <w:strike/>
          <w:kern w:val="2"/>
        </w:rPr>
        <w:t xml:space="preserve"> as follows.</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proofErr w:type="spellStart"/>
      <w:r w:rsidRPr="001430C4">
        <w:rPr>
          <w:strike/>
          <w:kern w:val="2"/>
        </w:rPr>
        <w:t>i</w:t>
      </w:r>
      <w:proofErr w:type="spellEnd"/>
      <w:r w:rsidRPr="001430C4">
        <w:rPr>
          <w:strike/>
          <w:kern w:val="2"/>
        </w:rPr>
        <w:t>.</w:t>
      </w:r>
      <w:r w:rsidRPr="001430C4">
        <w:rPr>
          <w:strike/>
          <w:kern w:val="2"/>
        </w:rPr>
        <w:tab/>
        <w:t xml:space="preserve">For a solid fuel-fired unit, the hourly heat input for a specified calendar year shall equal the control period gross electrical output, including the capacity factor, of the generator(s) served by the unit multiplied by 7,900 BTU/KWh and divided by 1,000,000 BTU/MMBTU. The control period gross electrical output as stated in the documentation presented for the LPSC or municipal certification </w:t>
      </w:r>
      <w:proofErr w:type="gramStart"/>
      <w:r w:rsidRPr="001430C4">
        <w:rPr>
          <w:strike/>
          <w:kern w:val="2"/>
        </w:rPr>
        <w:t>shall be used</w:t>
      </w:r>
      <w:proofErr w:type="gramEnd"/>
      <w:r w:rsidRPr="001430C4">
        <w:rPr>
          <w:strike/>
          <w:kern w:val="2"/>
        </w:rPr>
        <w:t xml:space="preserve"> in this calculation. If </w:t>
      </w:r>
      <w:proofErr w:type="gramStart"/>
      <w:r w:rsidRPr="001430C4">
        <w:rPr>
          <w:strike/>
          <w:kern w:val="2"/>
        </w:rPr>
        <w:t>a generator is served by two or more units</w:t>
      </w:r>
      <w:proofErr w:type="gramEnd"/>
      <w:r w:rsidRPr="001430C4">
        <w:rPr>
          <w:strike/>
          <w:kern w:val="2"/>
        </w:rPr>
        <w:t>, then the gross electrical output of the generator shall be attributed to each unit in proportion to the unit's share of the total control period heat input of all the units for the year.</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r w:rsidRPr="001430C4">
        <w:rPr>
          <w:strike/>
          <w:kern w:val="2"/>
        </w:rPr>
        <w:t>ii.</w:t>
      </w:r>
      <w:r w:rsidRPr="001430C4">
        <w:rPr>
          <w:strike/>
          <w:kern w:val="2"/>
        </w:rPr>
        <w:tab/>
        <w:t xml:space="preserve">For a gaseous or liquid fuel-fired unit, the hourly heat input for a specified calendar year shall equal the control period gross electrical output, including the capacity factor, of the generator(s) served by the unit multiplied by 6,675 BTU/KWh and divided by 1,000,000 BTU/MMBTU. The control period gross electrical output as stated in the documentation presented for the LPSC or municipal certification </w:t>
      </w:r>
      <w:proofErr w:type="gramStart"/>
      <w:r w:rsidRPr="001430C4">
        <w:rPr>
          <w:strike/>
          <w:kern w:val="2"/>
        </w:rPr>
        <w:t>shall be used</w:t>
      </w:r>
      <w:proofErr w:type="gramEnd"/>
      <w:r w:rsidRPr="001430C4">
        <w:rPr>
          <w:strike/>
          <w:kern w:val="2"/>
        </w:rPr>
        <w:t xml:space="preserve"> in this calculation. If </w:t>
      </w:r>
      <w:proofErr w:type="gramStart"/>
      <w:r w:rsidRPr="001430C4">
        <w:rPr>
          <w:strike/>
          <w:kern w:val="2"/>
        </w:rPr>
        <w:t>a generator is served by two or more units</w:t>
      </w:r>
      <w:proofErr w:type="gramEnd"/>
      <w:r w:rsidRPr="001430C4">
        <w:rPr>
          <w:strike/>
          <w:kern w:val="2"/>
        </w:rPr>
        <w:t xml:space="preserve">, then the gross electrical output of the generator shall </w:t>
      </w:r>
      <w:r w:rsidRPr="001430C4">
        <w:rPr>
          <w:strike/>
          <w:kern w:val="2"/>
        </w:rPr>
        <w:lastRenderedPageBreak/>
        <w:t>be attributed to each unit in proportion to the unit's share of the total control period heat input of all the units for the year.</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c.</w:t>
      </w:r>
      <w:r w:rsidRPr="001430C4">
        <w:rPr>
          <w:strike/>
          <w:kern w:val="2"/>
        </w:rPr>
        <w:tab/>
        <w:t xml:space="preserve">Utility Units. </w:t>
      </w:r>
      <w:proofErr w:type="gramStart"/>
      <w:r w:rsidRPr="001430C4">
        <w:rPr>
          <w:strike/>
          <w:kern w:val="2"/>
        </w:rPr>
        <w:t>The department shall allocate CAIR NO</w:t>
      </w:r>
      <w:r w:rsidRPr="001430C4">
        <w:rPr>
          <w:strike/>
          <w:kern w:val="2"/>
          <w:vertAlign w:val="subscript"/>
        </w:rPr>
        <w:t>x</w:t>
      </w:r>
      <w:r w:rsidRPr="001430C4">
        <w:rPr>
          <w:strike/>
          <w:kern w:val="2"/>
        </w:rPr>
        <w:t xml:space="preserve"> allowances to each CAIR utility unit by multiplying the CAIR NO</w:t>
      </w:r>
      <w:r w:rsidRPr="001430C4">
        <w:rPr>
          <w:strike/>
          <w:kern w:val="2"/>
          <w:vertAlign w:val="subscript"/>
        </w:rPr>
        <w:t>x</w:t>
      </w:r>
      <w:r w:rsidRPr="001430C4">
        <w:rPr>
          <w:strike/>
          <w:kern w:val="2"/>
        </w:rPr>
        <w:t xml:space="preserve"> budget for Louisiana (40 CFR 97.140), minus the allowances allocated under Subparagraph A.2.</w:t>
      </w:r>
      <w:proofErr w:type="spellStart"/>
      <w:r w:rsidRPr="001430C4">
        <w:rPr>
          <w:strike/>
          <w:kern w:val="2"/>
        </w:rPr>
        <w:t>a</w:t>
      </w:r>
      <w:proofErr w:type="spellEnd"/>
      <w:r w:rsidRPr="001430C4">
        <w:rPr>
          <w:strike/>
          <w:kern w:val="2"/>
        </w:rPr>
        <w:t xml:space="preserve"> of this Section, by the ratio of the adjusted heat input of the CAIR utility unit to the total amount of adjusted heat input and converted heat input of all CAIR utility units and certified units in the state and rounding to the nearest whole allowance.</w:t>
      </w:r>
      <w:proofErr w:type="gramEnd"/>
      <w:r w:rsidRPr="001430C4">
        <w:rPr>
          <w:strike/>
          <w:kern w:val="2"/>
        </w:rPr>
        <w:t xml:space="preserve"> The adjusted heat input (in MMBTU) used with respect to the CAIR NO</w:t>
      </w:r>
      <w:r w:rsidRPr="001430C4">
        <w:rPr>
          <w:strike/>
          <w:kern w:val="2"/>
          <w:vertAlign w:val="subscript"/>
        </w:rPr>
        <w:t>x</w:t>
      </w:r>
      <w:r w:rsidRPr="001430C4">
        <w:rPr>
          <w:strike/>
          <w:kern w:val="2"/>
        </w:rPr>
        <w:t xml:space="preserve"> annual allowance for each CAIR utility unit shall be established as follows.</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proofErr w:type="spellStart"/>
      <w:proofErr w:type="gramStart"/>
      <w:r w:rsidRPr="001430C4">
        <w:rPr>
          <w:strike/>
          <w:kern w:val="2"/>
        </w:rPr>
        <w:t>i</w:t>
      </w:r>
      <w:proofErr w:type="spellEnd"/>
      <w:r w:rsidRPr="001430C4">
        <w:rPr>
          <w:strike/>
          <w:kern w:val="2"/>
        </w:rPr>
        <w:t>.</w:t>
      </w:r>
      <w:r w:rsidRPr="001430C4">
        <w:rPr>
          <w:strike/>
          <w:kern w:val="2"/>
        </w:rPr>
        <w:tab/>
        <w:t>The average of the unit's control period adjusted heat input for the three calendar years immediately preceding the deadline for submission of allocations to the administrator shall be used (except that the allocation submitted in 2007 shall use the average of the control period adjusted heat input for calendar years 2002, 2003, and 2004), with the control period adjusted heat input for each year calculated as follows.</w:t>
      </w:r>
      <w:proofErr w:type="gramEnd"/>
    </w:p>
    <w:p w:rsidR="001430C4" w:rsidRPr="001430C4" w:rsidRDefault="001430C4" w:rsidP="001430C4">
      <w:pPr>
        <w:tabs>
          <w:tab w:val="left" w:pos="720"/>
        </w:tabs>
        <w:spacing w:line="480" w:lineRule="auto"/>
        <w:jc w:val="both"/>
        <w:outlineLvl w:val="7"/>
        <w:rPr>
          <w:strike/>
          <w:kern w:val="2"/>
        </w:rPr>
      </w:pPr>
      <w:r w:rsidRPr="001430C4">
        <w:rPr>
          <w:kern w:val="2"/>
        </w:rPr>
        <w:tab/>
      </w:r>
      <w:r w:rsidRPr="001430C4">
        <w:rPr>
          <w:kern w:val="2"/>
        </w:rPr>
        <w:tab/>
      </w:r>
      <w:r w:rsidRPr="001430C4">
        <w:rPr>
          <w:kern w:val="2"/>
        </w:rPr>
        <w:tab/>
      </w:r>
      <w:r w:rsidRPr="001430C4">
        <w:rPr>
          <w:kern w:val="2"/>
        </w:rPr>
        <w:tab/>
      </w:r>
      <w:r w:rsidRPr="001430C4">
        <w:rPr>
          <w:kern w:val="2"/>
        </w:rPr>
        <w:tab/>
      </w:r>
      <w:r w:rsidRPr="001430C4">
        <w:rPr>
          <w:strike/>
          <w:kern w:val="2"/>
        </w:rPr>
        <w:t>(</w:t>
      </w:r>
      <w:proofErr w:type="gramStart"/>
      <w:r w:rsidRPr="001430C4">
        <w:rPr>
          <w:strike/>
          <w:kern w:val="2"/>
        </w:rPr>
        <w:t>a</w:t>
      </w:r>
      <w:proofErr w:type="gramEnd"/>
      <w:r w:rsidRPr="001430C4">
        <w:rPr>
          <w:strike/>
          <w:kern w:val="2"/>
        </w:rPr>
        <w:t>).</w:t>
      </w:r>
      <w:r w:rsidRPr="001430C4">
        <w:rPr>
          <w:strike/>
          <w:kern w:val="2"/>
        </w:rPr>
        <w:tab/>
        <w:t>If the unit is solid fuel-fired during a year, the unit's control period heat input for that year shall be multiplied by 100 percent.</w:t>
      </w:r>
    </w:p>
    <w:p w:rsidR="001430C4" w:rsidRPr="001430C4" w:rsidRDefault="001430C4" w:rsidP="001430C4">
      <w:pPr>
        <w:tabs>
          <w:tab w:val="left" w:pos="720"/>
        </w:tabs>
        <w:spacing w:line="480" w:lineRule="auto"/>
        <w:jc w:val="both"/>
        <w:outlineLvl w:val="7"/>
        <w:rPr>
          <w:strike/>
          <w:kern w:val="2"/>
        </w:rPr>
      </w:pPr>
      <w:r w:rsidRPr="001430C4">
        <w:rPr>
          <w:kern w:val="2"/>
        </w:rPr>
        <w:tab/>
      </w:r>
      <w:r w:rsidRPr="001430C4">
        <w:rPr>
          <w:kern w:val="2"/>
        </w:rPr>
        <w:tab/>
      </w:r>
      <w:r w:rsidRPr="001430C4">
        <w:rPr>
          <w:kern w:val="2"/>
        </w:rPr>
        <w:tab/>
      </w:r>
      <w:r w:rsidRPr="001430C4">
        <w:rPr>
          <w:kern w:val="2"/>
        </w:rPr>
        <w:tab/>
      </w:r>
      <w:r w:rsidRPr="001430C4">
        <w:rPr>
          <w:kern w:val="2"/>
        </w:rPr>
        <w:tab/>
      </w:r>
      <w:r w:rsidRPr="001430C4">
        <w:rPr>
          <w:strike/>
          <w:kern w:val="2"/>
        </w:rPr>
        <w:t>(b).</w:t>
      </w:r>
      <w:r w:rsidRPr="001430C4">
        <w:rPr>
          <w:strike/>
          <w:kern w:val="2"/>
        </w:rPr>
        <w:tab/>
        <w:t>If the unit is liquid fuel-fired during a year, the unit's control period heat input for that year shall be multiplied by 60 percent.</w:t>
      </w:r>
    </w:p>
    <w:p w:rsidR="001430C4" w:rsidRPr="001430C4" w:rsidRDefault="001430C4" w:rsidP="001430C4">
      <w:pPr>
        <w:tabs>
          <w:tab w:val="left" w:pos="720"/>
        </w:tabs>
        <w:spacing w:line="480" w:lineRule="auto"/>
        <w:jc w:val="both"/>
        <w:outlineLvl w:val="7"/>
        <w:rPr>
          <w:strike/>
          <w:kern w:val="2"/>
        </w:rPr>
      </w:pPr>
      <w:r w:rsidRPr="001430C4">
        <w:rPr>
          <w:kern w:val="2"/>
        </w:rPr>
        <w:tab/>
      </w:r>
      <w:r w:rsidRPr="001430C4">
        <w:rPr>
          <w:kern w:val="2"/>
        </w:rPr>
        <w:tab/>
      </w:r>
      <w:r w:rsidRPr="001430C4">
        <w:rPr>
          <w:kern w:val="2"/>
        </w:rPr>
        <w:tab/>
      </w:r>
      <w:r w:rsidRPr="001430C4">
        <w:rPr>
          <w:kern w:val="2"/>
        </w:rPr>
        <w:tab/>
      </w:r>
      <w:r w:rsidRPr="001430C4">
        <w:rPr>
          <w:kern w:val="2"/>
        </w:rPr>
        <w:tab/>
      </w:r>
      <w:r w:rsidRPr="001430C4">
        <w:rPr>
          <w:strike/>
          <w:kern w:val="2"/>
        </w:rPr>
        <w:t>(c).</w:t>
      </w:r>
      <w:r w:rsidRPr="001430C4">
        <w:rPr>
          <w:strike/>
          <w:kern w:val="2"/>
        </w:rPr>
        <w:tab/>
        <w:t xml:space="preserve">If the unit is not subject to </w:t>
      </w:r>
      <w:proofErr w:type="spellStart"/>
      <w:r w:rsidRPr="001430C4">
        <w:rPr>
          <w:strike/>
          <w:kern w:val="2"/>
        </w:rPr>
        <w:t>Subclause</w:t>
      </w:r>
      <w:proofErr w:type="spellEnd"/>
      <w:r w:rsidRPr="001430C4">
        <w:rPr>
          <w:strike/>
          <w:kern w:val="2"/>
        </w:rPr>
        <w:t xml:space="preserve"> A.2.c.i.(a) or (b) of this Section, the unit's control period heat input for the year shall be multiplied by 40 percent.</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r w:rsidRPr="001430C4">
        <w:rPr>
          <w:strike/>
          <w:kern w:val="2"/>
        </w:rPr>
        <w:t>ii.</w:t>
      </w:r>
      <w:r w:rsidRPr="001430C4">
        <w:rPr>
          <w:strike/>
          <w:kern w:val="2"/>
        </w:rPr>
        <w:tab/>
        <w:t>A unit's control period heat input, fuel type, and total tons of NO</w:t>
      </w:r>
      <w:r w:rsidRPr="001430C4">
        <w:rPr>
          <w:strike/>
          <w:kern w:val="2"/>
          <w:vertAlign w:val="subscript"/>
        </w:rPr>
        <w:t>x</w:t>
      </w:r>
      <w:r w:rsidRPr="001430C4">
        <w:rPr>
          <w:strike/>
          <w:kern w:val="2"/>
        </w:rPr>
        <w:t xml:space="preserve"> emissions during a calendar year shall be determined in accordance with 40 CFR Part 97 and reported in accordance with LAC 33:III.919.</w:t>
      </w:r>
    </w:p>
    <w:p w:rsidR="001430C4" w:rsidRPr="001430C4" w:rsidRDefault="001430C4" w:rsidP="001430C4">
      <w:pPr>
        <w:tabs>
          <w:tab w:val="left" w:pos="720"/>
        </w:tabs>
        <w:spacing w:line="480" w:lineRule="auto"/>
        <w:jc w:val="both"/>
        <w:outlineLvl w:val="4"/>
        <w:rPr>
          <w:strike/>
          <w:kern w:val="2"/>
        </w:rPr>
      </w:pPr>
      <w:r w:rsidRPr="001430C4">
        <w:rPr>
          <w:kern w:val="2"/>
        </w:rPr>
        <w:lastRenderedPageBreak/>
        <w:tab/>
      </w:r>
      <w:r w:rsidRPr="001430C4">
        <w:rPr>
          <w:kern w:val="2"/>
        </w:rPr>
        <w:tab/>
      </w:r>
      <w:r w:rsidRPr="001430C4">
        <w:rPr>
          <w:strike/>
          <w:kern w:val="2"/>
        </w:rPr>
        <w:t>3.</w:t>
      </w:r>
      <w:r w:rsidRPr="001430C4">
        <w:rPr>
          <w:strike/>
          <w:kern w:val="2"/>
        </w:rPr>
        <w:tab/>
        <w:t>Timing Requirements for CAIR NO</w:t>
      </w:r>
      <w:r w:rsidRPr="001430C4">
        <w:rPr>
          <w:strike/>
          <w:kern w:val="2"/>
          <w:vertAlign w:val="subscript"/>
        </w:rPr>
        <w:t>x</w:t>
      </w:r>
      <w:r w:rsidRPr="001430C4">
        <w:rPr>
          <w:strike/>
          <w:kern w:val="2"/>
        </w:rPr>
        <w:t xml:space="preserve"> Annual Allowance Allocations </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a.</w:t>
      </w:r>
      <w:r w:rsidRPr="001430C4">
        <w:rPr>
          <w:strike/>
          <w:kern w:val="2"/>
        </w:rPr>
        <w:tab/>
        <w:t>By April 30, 2007, the department shall submit to the administrator the CAIR NO</w:t>
      </w:r>
      <w:r w:rsidRPr="001430C4">
        <w:rPr>
          <w:strike/>
          <w:kern w:val="2"/>
          <w:vertAlign w:val="subscript"/>
        </w:rPr>
        <w:t>x</w:t>
      </w:r>
      <w:r w:rsidRPr="001430C4">
        <w:rPr>
          <w:strike/>
          <w:kern w:val="2"/>
        </w:rPr>
        <w:t xml:space="preserve"> annual allowance allocations, in a format prescribed by the administrator and in accordance with Paragraph A.2 of this Section, for the control periods in 2009, 2010, and 2011.</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proofErr w:type="gramStart"/>
      <w:r w:rsidRPr="001430C4">
        <w:rPr>
          <w:strike/>
          <w:kern w:val="2"/>
        </w:rPr>
        <w:t>b.</w:t>
      </w:r>
      <w:r w:rsidRPr="001430C4">
        <w:rPr>
          <w:strike/>
          <w:kern w:val="2"/>
        </w:rPr>
        <w:tab/>
        <w:t>By October 31, 2008, for the year 2012, and by October 31 of each year thereafter, the department shall submit to the administrator CAIR NO</w:t>
      </w:r>
      <w:r w:rsidRPr="001430C4">
        <w:rPr>
          <w:strike/>
          <w:kern w:val="2"/>
          <w:vertAlign w:val="subscript"/>
        </w:rPr>
        <w:t>x</w:t>
      </w:r>
      <w:r w:rsidRPr="001430C4">
        <w:rPr>
          <w:strike/>
          <w:kern w:val="2"/>
        </w:rPr>
        <w:t xml:space="preserve"> annual allowance allocations, in a format prescribed by the administrator and in accordance with Paragraph A.2 of this Section, for the control period in the fourth year after the year of the applicable deadline for submission under this Section.</w:t>
      </w:r>
      <w:proofErr w:type="gramEnd"/>
      <w:r w:rsidRPr="001430C4">
        <w:rPr>
          <w:strike/>
          <w:kern w:val="2"/>
        </w:rPr>
        <w:t xml:space="preserve"> </w:t>
      </w:r>
    </w:p>
    <w:p w:rsidR="001430C4" w:rsidRPr="001430C4" w:rsidRDefault="001430C4" w:rsidP="001430C4">
      <w:pPr>
        <w:tabs>
          <w:tab w:val="left" w:pos="720"/>
        </w:tabs>
        <w:spacing w:line="480" w:lineRule="auto"/>
        <w:jc w:val="both"/>
        <w:outlineLvl w:val="4"/>
        <w:rPr>
          <w:strike/>
          <w:kern w:val="2"/>
        </w:rPr>
      </w:pPr>
      <w:r w:rsidRPr="001430C4">
        <w:rPr>
          <w:kern w:val="2"/>
        </w:rPr>
        <w:tab/>
      </w:r>
      <w:r w:rsidRPr="001430C4">
        <w:rPr>
          <w:kern w:val="2"/>
        </w:rPr>
        <w:tab/>
      </w:r>
      <w:r w:rsidRPr="001430C4">
        <w:rPr>
          <w:strike/>
          <w:kern w:val="2"/>
        </w:rPr>
        <w:t>4.</w:t>
      </w:r>
      <w:r w:rsidRPr="001430C4">
        <w:rPr>
          <w:strike/>
          <w:kern w:val="2"/>
        </w:rPr>
        <w:tab/>
        <w:t xml:space="preserve">Reclassification of Units. When the ownership of a unit </w:t>
      </w:r>
      <w:proofErr w:type="gramStart"/>
      <w:r w:rsidRPr="001430C4">
        <w:rPr>
          <w:strike/>
          <w:kern w:val="2"/>
        </w:rPr>
        <w:t>is transferred</w:t>
      </w:r>
      <w:proofErr w:type="gramEnd"/>
      <w:r w:rsidRPr="001430C4">
        <w:rPr>
          <w:strike/>
          <w:kern w:val="2"/>
        </w:rPr>
        <w:t xml:space="preserve">, the unit is reclassified accordingly as a utility or non-utility unit. The department will allocate future allowances using the new classification, beginning with the allocation submission deadline after the effective date of the unit reclassification. The electric public utility must notify the department of the transfer of ownership. No changes </w:t>
      </w:r>
      <w:proofErr w:type="gramStart"/>
      <w:r w:rsidRPr="001430C4">
        <w:rPr>
          <w:strike/>
          <w:kern w:val="2"/>
        </w:rPr>
        <w:t>will be made</w:t>
      </w:r>
      <w:proofErr w:type="gramEnd"/>
      <w:r w:rsidRPr="001430C4">
        <w:rPr>
          <w:strike/>
          <w:kern w:val="2"/>
        </w:rPr>
        <w:t xml:space="preserve"> without written notification from the electric public utility.</w:t>
      </w:r>
    </w:p>
    <w:p w:rsidR="001430C4" w:rsidRPr="001430C4" w:rsidRDefault="001430C4" w:rsidP="001430C4">
      <w:pPr>
        <w:tabs>
          <w:tab w:val="left" w:pos="720"/>
        </w:tabs>
        <w:spacing w:line="480" w:lineRule="auto"/>
        <w:jc w:val="both"/>
        <w:outlineLvl w:val="3"/>
        <w:rPr>
          <w:strike/>
          <w:kern w:val="2"/>
        </w:rPr>
      </w:pPr>
      <w:r w:rsidRPr="001430C4">
        <w:rPr>
          <w:kern w:val="2"/>
        </w:rPr>
        <w:tab/>
      </w:r>
      <w:r w:rsidRPr="001430C4">
        <w:rPr>
          <w:strike/>
          <w:kern w:val="2"/>
        </w:rPr>
        <w:t>B.</w:t>
      </w:r>
      <w:r w:rsidRPr="001430C4">
        <w:rPr>
          <w:strike/>
          <w:kern w:val="2"/>
        </w:rPr>
        <w:tab/>
        <w:t>Clean Air Interstate Rule (CAIR) Nitrogen Oxide (NO</w:t>
      </w:r>
      <w:r w:rsidRPr="001430C4">
        <w:rPr>
          <w:strike/>
          <w:kern w:val="2"/>
          <w:vertAlign w:val="subscript"/>
        </w:rPr>
        <w:t>x</w:t>
      </w:r>
      <w:r w:rsidRPr="001430C4">
        <w:rPr>
          <w:strike/>
          <w:kern w:val="2"/>
        </w:rPr>
        <w:t>) Ozone Season Program. This Subsection is adopted in lieu of 40 CFR 97.341 and 97.342 as promulgated under the CAIR Federal Implementation Plan (FIP) NO</w:t>
      </w:r>
      <w:r w:rsidRPr="001430C4">
        <w:rPr>
          <w:strike/>
          <w:kern w:val="2"/>
          <w:vertAlign w:val="subscript"/>
        </w:rPr>
        <w:t>x</w:t>
      </w:r>
      <w:r w:rsidRPr="001430C4">
        <w:rPr>
          <w:strike/>
          <w:kern w:val="2"/>
        </w:rPr>
        <w:t xml:space="preserve"> Ozone Season Trading Program on April 28, 2006, at 71 FR 25328-25469 and as amended on October 19, 2007, at 72 FR 59190-59207. All provisions of 40 CFR Part 97, Subparts AAAA–HHHH, continue to apply, with the exception of §97.341 (Timing Requirements for CAIR NO</w:t>
      </w:r>
      <w:r w:rsidRPr="001430C4">
        <w:rPr>
          <w:strike/>
          <w:kern w:val="2"/>
          <w:vertAlign w:val="subscript"/>
        </w:rPr>
        <w:t>x</w:t>
      </w:r>
      <w:r w:rsidRPr="001430C4">
        <w:rPr>
          <w:strike/>
          <w:kern w:val="2"/>
        </w:rPr>
        <w:t xml:space="preserve"> Ozone Season Allowance Allocations) and §97.342 (CAIR NO</w:t>
      </w:r>
      <w:r w:rsidRPr="001430C4">
        <w:rPr>
          <w:strike/>
          <w:kern w:val="2"/>
          <w:vertAlign w:val="subscript"/>
        </w:rPr>
        <w:t>x</w:t>
      </w:r>
      <w:r w:rsidRPr="001430C4">
        <w:rPr>
          <w:strike/>
          <w:kern w:val="2"/>
        </w:rPr>
        <w:t xml:space="preserve"> Ozone Season Allowance Allocations). The provisions of this Subsection state how the CAIR </w:t>
      </w:r>
      <w:r w:rsidRPr="001430C4">
        <w:rPr>
          <w:strike/>
          <w:kern w:val="2"/>
        </w:rPr>
        <w:lastRenderedPageBreak/>
        <w:t>NO</w:t>
      </w:r>
      <w:r w:rsidRPr="001430C4">
        <w:rPr>
          <w:strike/>
          <w:kern w:val="2"/>
          <w:vertAlign w:val="subscript"/>
        </w:rPr>
        <w:t>x</w:t>
      </w:r>
      <w:r w:rsidRPr="001430C4">
        <w:rPr>
          <w:strike/>
          <w:kern w:val="2"/>
        </w:rPr>
        <w:t xml:space="preserve"> ozone season allowances shall be allocated in accordance with this Section and 40 CFR 97.343(a).</w:t>
      </w:r>
    </w:p>
    <w:p w:rsidR="001430C4" w:rsidRPr="001430C4" w:rsidRDefault="001430C4" w:rsidP="001430C4">
      <w:pPr>
        <w:tabs>
          <w:tab w:val="left" w:pos="720"/>
        </w:tabs>
        <w:spacing w:line="480" w:lineRule="auto"/>
        <w:jc w:val="both"/>
        <w:outlineLvl w:val="4"/>
        <w:rPr>
          <w:strike/>
          <w:kern w:val="2"/>
        </w:rPr>
      </w:pPr>
      <w:r w:rsidRPr="001430C4">
        <w:rPr>
          <w:kern w:val="2"/>
        </w:rPr>
        <w:tab/>
      </w:r>
      <w:r w:rsidRPr="001430C4">
        <w:rPr>
          <w:kern w:val="2"/>
        </w:rPr>
        <w:tab/>
      </w:r>
      <w:r w:rsidRPr="001430C4">
        <w:rPr>
          <w:strike/>
          <w:kern w:val="2"/>
        </w:rPr>
        <w:t>1.</w:t>
      </w:r>
      <w:r w:rsidRPr="001430C4">
        <w:rPr>
          <w:strike/>
          <w:kern w:val="2"/>
        </w:rPr>
        <w:tab/>
        <w:t>Definitions. The terms used in Subsection B of this Section have the meaning given to them in the CAIR FIP (40 CFR Part 97 as promulgated on April 28, 2006), and in Paragraph A.1 of this Section.</w:t>
      </w:r>
    </w:p>
    <w:p w:rsidR="001430C4" w:rsidRPr="001430C4" w:rsidRDefault="001430C4" w:rsidP="001430C4">
      <w:pPr>
        <w:tabs>
          <w:tab w:val="left" w:pos="720"/>
        </w:tabs>
        <w:spacing w:line="480" w:lineRule="auto"/>
        <w:jc w:val="both"/>
        <w:outlineLvl w:val="4"/>
        <w:rPr>
          <w:strike/>
          <w:kern w:val="2"/>
        </w:rPr>
      </w:pPr>
      <w:r w:rsidRPr="001430C4">
        <w:rPr>
          <w:kern w:val="2"/>
        </w:rPr>
        <w:tab/>
      </w:r>
      <w:r w:rsidRPr="001430C4">
        <w:rPr>
          <w:kern w:val="2"/>
        </w:rPr>
        <w:tab/>
      </w:r>
      <w:r w:rsidRPr="001430C4">
        <w:rPr>
          <w:strike/>
          <w:kern w:val="2"/>
        </w:rPr>
        <w:t>2.</w:t>
      </w:r>
      <w:r w:rsidRPr="001430C4">
        <w:rPr>
          <w:strike/>
          <w:kern w:val="2"/>
        </w:rPr>
        <w:tab/>
        <w:t>Allocation of CAIR NO</w:t>
      </w:r>
      <w:r w:rsidRPr="001430C4">
        <w:rPr>
          <w:strike/>
          <w:kern w:val="2"/>
          <w:vertAlign w:val="subscript"/>
        </w:rPr>
        <w:t>x</w:t>
      </w:r>
      <w:r w:rsidRPr="001430C4">
        <w:rPr>
          <w:strike/>
          <w:kern w:val="2"/>
        </w:rPr>
        <w:t xml:space="preserve"> Ozone Season Allowances. Total NO</w:t>
      </w:r>
      <w:r w:rsidRPr="001430C4">
        <w:rPr>
          <w:strike/>
          <w:kern w:val="2"/>
          <w:vertAlign w:val="subscript"/>
        </w:rPr>
        <w:t>x</w:t>
      </w:r>
      <w:r w:rsidRPr="001430C4">
        <w:rPr>
          <w:strike/>
          <w:kern w:val="2"/>
        </w:rPr>
        <w:t xml:space="preserve"> ozone season allowances allocated per control period shall not be in excess of the CAIR NO</w:t>
      </w:r>
      <w:r w:rsidRPr="001430C4">
        <w:rPr>
          <w:strike/>
          <w:kern w:val="2"/>
          <w:vertAlign w:val="subscript"/>
        </w:rPr>
        <w:t>x</w:t>
      </w:r>
      <w:r w:rsidRPr="001430C4">
        <w:rPr>
          <w:strike/>
          <w:kern w:val="2"/>
        </w:rPr>
        <w:t xml:space="preserve"> ozone season budget as found in 40 CFR 97.340 (17,085 tons per control period from 2009-2014 and 14,238 tons per control period thereafter).</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a.</w:t>
      </w:r>
      <w:r w:rsidRPr="001430C4">
        <w:rPr>
          <w:strike/>
          <w:kern w:val="2"/>
        </w:rPr>
        <w:tab/>
        <w:t>Non-Utility Units. For each CAIR non-utility unit, the NO</w:t>
      </w:r>
      <w:r w:rsidRPr="001430C4">
        <w:rPr>
          <w:strike/>
          <w:kern w:val="2"/>
          <w:vertAlign w:val="subscript"/>
        </w:rPr>
        <w:t>x</w:t>
      </w:r>
      <w:r w:rsidRPr="001430C4">
        <w:rPr>
          <w:strike/>
          <w:kern w:val="2"/>
        </w:rPr>
        <w:t xml:space="preserve"> allowances shall be equal to the average of the actual NO</w:t>
      </w:r>
      <w:r w:rsidRPr="001430C4">
        <w:rPr>
          <w:strike/>
          <w:kern w:val="2"/>
          <w:vertAlign w:val="subscript"/>
        </w:rPr>
        <w:t>x</w:t>
      </w:r>
      <w:r w:rsidRPr="001430C4">
        <w:rPr>
          <w:strike/>
          <w:kern w:val="2"/>
        </w:rPr>
        <w:t xml:space="preserve"> ozone season emissions of the three calendar years immediately preceding the year in which the control period allocations </w:t>
      </w:r>
      <w:proofErr w:type="gramStart"/>
      <w:r w:rsidRPr="001430C4">
        <w:rPr>
          <w:strike/>
          <w:kern w:val="2"/>
        </w:rPr>
        <w:t>are submitted</w:t>
      </w:r>
      <w:proofErr w:type="gramEnd"/>
      <w:r w:rsidRPr="001430C4">
        <w:rPr>
          <w:strike/>
          <w:kern w:val="2"/>
        </w:rPr>
        <w:t xml:space="preserve"> to the administrator. The actual NO</w:t>
      </w:r>
      <w:r w:rsidRPr="001430C4">
        <w:rPr>
          <w:strike/>
          <w:kern w:val="2"/>
          <w:vertAlign w:val="subscript"/>
        </w:rPr>
        <w:t>x</w:t>
      </w:r>
      <w:r w:rsidRPr="001430C4">
        <w:rPr>
          <w:strike/>
          <w:kern w:val="2"/>
        </w:rPr>
        <w:t xml:space="preserve"> ozone season emissions as reported in the emission inventory required by LAC </w:t>
      </w:r>
      <w:proofErr w:type="gramStart"/>
      <w:r w:rsidRPr="001430C4">
        <w:rPr>
          <w:strike/>
          <w:kern w:val="2"/>
        </w:rPr>
        <w:t>33:</w:t>
      </w:r>
      <w:proofErr w:type="gramEnd"/>
      <w:r w:rsidRPr="001430C4">
        <w:rPr>
          <w:strike/>
          <w:kern w:val="2"/>
        </w:rPr>
        <w:t>III.919 shall be used, except that the allowances submitted in 2007 shall use the actual NO</w:t>
      </w:r>
      <w:r w:rsidRPr="001430C4">
        <w:rPr>
          <w:strike/>
          <w:kern w:val="2"/>
          <w:vertAlign w:val="subscript"/>
        </w:rPr>
        <w:t>x</w:t>
      </w:r>
      <w:r w:rsidRPr="001430C4">
        <w:rPr>
          <w:strike/>
          <w:kern w:val="2"/>
        </w:rPr>
        <w:t xml:space="preserve"> emissions for calendar years 2002, 2003, and 2004 that were reported to the Federal Acid Rain Program. When data is not available in the emission inventory, data reported to the Federal Acid Rain Program </w:t>
      </w:r>
      <w:proofErr w:type="gramStart"/>
      <w:r w:rsidRPr="001430C4">
        <w:rPr>
          <w:strike/>
          <w:kern w:val="2"/>
        </w:rPr>
        <w:t>shall be used</w:t>
      </w:r>
      <w:proofErr w:type="gramEnd"/>
      <w:r w:rsidRPr="001430C4">
        <w:rPr>
          <w:strike/>
          <w:kern w:val="2"/>
        </w:rPr>
        <w:t>. When actual reported NO</w:t>
      </w:r>
      <w:r w:rsidRPr="001430C4">
        <w:rPr>
          <w:strike/>
          <w:kern w:val="2"/>
          <w:vertAlign w:val="subscript"/>
        </w:rPr>
        <w:t>x</w:t>
      </w:r>
      <w:r w:rsidRPr="001430C4">
        <w:rPr>
          <w:strike/>
          <w:kern w:val="2"/>
        </w:rPr>
        <w:t xml:space="preserve"> ozone season emissions data are available for only two of the three calendar years immediately preceding the deadline for submission of the control period allocations, the average of the actual reported NO</w:t>
      </w:r>
      <w:r w:rsidRPr="001430C4">
        <w:rPr>
          <w:strike/>
          <w:kern w:val="2"/>
          <w:vertAlign w:val="subscript"/>
        </w:rPr>
        <w:t>x</w:t>
      </w:r>
      <w:r w:rsidRPr="001430C4">
        <w:rPr>
          <w:strike/>
          <w:kern w:val="2"/>
        </w:rPr>
        <w:t xml:space="preserve"> ozone season emissions data for those two years </w:t>
      </w:r>
      <w:proofErr w:type="gramStart"/>
      <w:r w:rsidRPr="001430C4">
        <w:rPr>
          <w:strike/>
          <w:kern w:val="2"/>
        </w:rPr>
        <w:t>shall be used</w:t>
      </w:r>
      <w:proofErr w:type="gramEnd"/>
      <w:r w:rsidRPr="001430C4">
        <w:rPr>
          <w:strike/>
          <w:kern w:val="2"/>
        </w:rPr>
        <w:t>. When actual reported NO</w:t>
      </w:r>
      <w:r w:rsidRPr="001430C4">
        <w:rPr>
          <w:strike/>
          <w:kern w:val="2"/>
          <w:vertAlign w:val="subscript"/>
        </w:rPr>
        <w:t>x</w:t>
      </w:r>
      <w:r w:rsidRPr="001430C4">
        <w:rPr>
          <w:strike/>
          <w:kern w:val="2"/>
        </w:rPr>
        <w:t xml:space="preserve"> ozone season emissions data are available for only one of the three calendar years, the actual reported NO</w:t>
      </w:r>
      <w:r w:rsidRPr="001430C4">
        <w:rPr>
          <w:strike/>
          <w:kern w:val="2"/>
          <w:vertAlign w:val="subscript"/>
        </w:rPr>
        <w:t>x</w:t>
      </w:r>
      <w:r w:rsidRPr="001430C4">
        <w:rPr>
          <w:strike/>
          <w:kern w:val="2"/>
        </w:rPr>
        <w:t xml:space="preserve"> ozone season emissions data for that one year </w:t>
      </w:r>
      <w:proofErr w:type="gramStart"/>
      <w:r w:rsidRPr="001430C4">
        <w:rPr>
          <w:strike/>
          <w:kern w:val="2"/>
        </w:rPr>
        <w:t>shall be used</w:t>
      </w:r>
      <w:proofErr w:type="gramEnd"/>
      <w:r w:rsidRPr="001430C4">
        <w:rPr>
          <w:strike/>
          <w:kern w:val="2"/>
        </w:rPr>
        <w:t>. When no actual reported NO</w:t>
      </w:r>
      <w:r w:rsidRPr="001430C4">
        <w:rPr>
          <w:strike/>
          <w:kern w:val="2"/>
          <w:vertAlign w:val="subscript"/>
        </w:rPr>
        <w:t>x</w:t>
      </w:r>
      <w:r w:rsidRPr="001430C4">
        <w:rPr>
          <w:strike/>
          <w:kern w:val="2"/>
        </w:rPr>
        <w:t xml:space="preserve"> ozone season </w:t>
      </w:r>
      <w:r w:rsidRPr="001430C4">
        <w:rPr>
          <w:strike/>
          <w:kern w:val="2"/>
        </w:rPr>
        <w:lastRenderedPageBreak/>
        <w:t xml:space="preserve">emissions data for any of the three calendar years are available, no allocations </w:t>
      </w:r>
      <w:proofErr w:type="gramStart"/>
      <w:r w:rsidRPr="001430C4">
        <w:rPr>
          <w:strike/>
          <w:kern w:val="2"/>
        </w:rPr>
        <w:t>shall be made</w:t>
      </w:r>
      <w:proofErr w:type="gramEnd"/>
      <w:r w:rsidRPr="001430C4">
        <w:rPr>
          <w:strike/>
          <w:kern w:val="2"/>
        </w:rPr>
        <w:t xml:space="preserve"> under this Paragraph.</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b.</w:t>
      </w:r>
      <w:r w:rsidRPr="001430C4">
        <w:rPr>
          <w:strike/>
          <w:kern w:val="2"/>
        </w:rPr>
        <w:tab/>
        <w:t xml:space="preserve">Certified Units. </w:t>
      </w:r>
      <w:proofErr w:type="gramStart"/>
      <w:r w:rsidRPr="001430C4">
        <w:rPr>
          <w:strike/>
          <w:kern w:val="2"/>
        </w:rPr>
        <w:t>A certified and permitted unit subject to CAIR shall be allocated NO</w:t>
      </w:r>
      <w:r w:rsidRPr="001430C4">
        <w:rPr>
          <w:strike/>
          <w:kern w:val="2"/>
          <w:vertAlign w:val="subscript"/>
        </w:rPr>
        <w:t>x</w:t>
      </w:r>
      <w:r w:rsidRPr="001430C4">
        <w:rPr>
          <w:strike/>
          <w:kern w:val="2"/>
        </w:rPr>
        <w:t xml:space="preserve"> allowances for the ozone season of the control period in which the unit will begin operation, and for each successive ozone season in a control period, for which no NO</w:t>
      </w:r>
      <w:r w:rsidRPr="001430C4">
        <w:rPr>
          <w:strike/>
          <w:kern w:val="2"/>
          <w:vertAlign w:val="subscript"/>
        </w:rPr>
        <w:t>x</w:t>
      </w:r>
      <w:r w:rsidRPr="001430C4">
        <w:rPr>
          <w:strike/>
          <w:kern w:val="2"/>
        </w:rPr>
        <w:t xml:space="preserve"> allowances have been previously allocated until ozone season operating data are available for the three calendar years immediately preceding the deadline for submission of the control period allocations.</w:t>
      </w:r>
      <w:proofErr w:type="gramEnd"/>
      <w:r w:rsidRPr="001430C4">
        <w:rPr>
          <w:strike/>
          <w:kern w:val="2"/>
        </w:rPr>
        <w:t xml:space="preserve"> Until a unit has three years of ozone season operating data preceding the allocation submittal deadline, the converted heat input as calculated in Clause B.2.b.i or ii of this Section shall be used to allocate ozone season allowances for the unit. The certified unit </w:t>
      </w:r>
      <w:proofErr w:type="gramStart"/>
      <w:r w:rsidRPr="001430C4">
        <w:rPr>
          <w:strike/>
          <w:kern w:val="2"/>
        </w:rPr>
        <w:t>shall be treated</w:t>
      </w:r>
      <w:proofErr w:type="gramEnd"/>
      <w:r w:rsidRPr="001430C4">
        <w:rPr>
          <w:strike/>
          <w:kern w:val="2"/>
        </w:rPr>
        <w:t xml:space="preserve"> as a utility unit for purposes of this allocation, except that ozone season converted heat input shall be used instead of ozone season adjusted heat input. Repowered utility units </w:t>
      </w:r>
      <w:proofErr w:type="gramStart"/>
      <w:r w:rsidRPr="001430C4">
        <w:rPr>
          <w:strike/>
          <w:kern w:val="2"/>
        </w:rPr>
        <w:t>will be allocated</w:t>
      </w:r>
      <w:proofErr w:type="gramEnd"/>
      <w:r w:rsidRPr="001430C4">
        <w:rPr>
          <w:strike/>
          <w:kern w:val="2"/>
        </w:rPr>
        <w:t xml:space="preserve"> in the same manner as certified units in the control period of certification. Ozone season converted heat input </w:t>
      </w:r>
      <w:proofErr w:type="gramStart"/>
      <w:r w:rsidRPr="001430C4">
        <w:rPr>
          <w:strike/>
          <w:kern w:val="2"/>
        </w:rPr>
        <w:t>is calculated</w:t>
      </w:r>
      <w:proofErr w:type="gramEnd"/>
      <w:r w:rsidRPr="001430C4">
        <w:rPr>
          <w:strike/>
          <w:kern w:val="2"/>
        </w:rPr>
        <w:t xml:space="preserve"> as follows.</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proofErr w:type="spellStart"/>
      <w:r w:rsidRPr="001430C4">
        <w:rPr>
          <w:strike/>
          <w:kern w:val="2"/>
        </w:rPr>
        <w:t>i</w:t>
      </w:r>
      <w:proofErr w:type="spellEnd"/>
      <w:r w:rsidRPr="001430C4">
        <w:rPr>
          <w:strike/>
          <w:kern w:val="2"/>
        </w:rPr>
        <w:t>.</w:t>
      </w:r>
      <w:r w:rsidRPr="001430C4">
        <w:rPr>
          <w:strike/>
          <w:kern w:val="2"/>
        </w:rPr>
        <w:tab/>
        <w:t xml:space="preserve">For a solid fuel-fired unit, the hourly heat input for a specified calendar year shall equal the control period gross electrical output, including the capacity factor, of the generator(s) served by the unit multiplied by 7,900 BTU/KWh and divided by 1,000,000 BTU/MMBTU. If the control period gross electrical output is unavailable, the hourly heat input for a specified calendar year shall equal the annual gross electrical output, including the capacity factor, of the generator(s) served by the unit multiplied by 7,900 BTU/KWh and divided by 1,000,000 BTU/MMBTU, and multiplied by 5/12. The control period gross electrical output as stated in the documentation presented for the LPSC or municipal certification </w:t>
      </w:r>
      <w:proofErr w:type="gramStart"/>
      <w:r w:rsidRPr="001430C4">
        <w:rPr>
          <w:strike/>
          <w:kern w:val="2"/>
        </w:rPr>
        <w:t>shall be used</w:t>
      </w:r>
      <w:proofErr w:type="gramEnd"/>
      <w:r w:rsidRPr="001430C4">
        <w:rPr>
          <w:strike/>
          <w:kern w:val="2"/>
        </w:rPr>
        <w:t xml:space="preserve"> in this calculation. If </w:t>
      </w:r>
      <w:proofErr w:type="gramStart"/>
      <w:r w:rsidRPr="001430C4">
        <w:rPr>
          <w:strike/>
          <w:kern w:val="2"/>
        </w:rPr>
        <w:t>a generator is served by two or more units</w:t>
      </w:r>
      <w:proofErr w:type="gramEnd"/>
      <w:r w:rsidRPr="001430C4">
        <w:rPr>
          <w:strike/>
          <w:kern w:val="2"/>
        </w:rPr>
        <w:t xml:space="preserve">, then the gross electrical output of the </w:t>
      </w:r>
      <w:r w:rsidRPr="001430C4">
        <w:rPr>
          <w:strike/>
          <w:kern w:val="2"/>
        </w:rPr>
        <w:lastRenderedPageBreak/>
        <w:t>generator shall be attributed to each unit in proportion to the unit's share of the total control period heat input of all the units for the specified ozone season.</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r w:rsidRPr="001430C4">
        <w:rPr>
          <w:strike/>
          <w:kern w:val="2"/>
        </w:rPr>
        <w:t>ii.</w:t>
      </w:r>
      <w:r w:rsidRPr="001430C4">
        <w:rPr>
          <w:strike/>
          <w:kern w:val="2"/>
        </w:rPr>
        <w:tab/>
        <w:t xml:space="preserve">For a gaseous or liquid fuel-fired unit, the hourly heat input for a specified calendar year shall equal the control period gross electrical output, including the capacity factor, of the generator(s) served by the unit multiplied by 6,675 BTU/KWh and divided by 1,000,000 BTU/MMBTU. If the control period gross electrical output is unavailable, the hourly heat input for a specified calendar year shall equal the annual gross electrical output, including the capacity factor, of the generator(s) served by the unit multiplied by 6,675 BTU/KWh and divided by 1,000,000 BTU/MMBTU, and multiplied by 5/12. The control period gross electrical output as stated in the documentation presented for the LPSC or municipal certification </w:t>
      </w:r>
      <w:proofErr w:type="gramStart"/>
      <w:r w:rsidRPr="001430C4">
        <w:rPr>
          <w:strike/>
          <w:kern w:val="2"/>
        </w:rPr>
        <w:t>shall be used</w:t>
      </w:r>
      <w:proofErr w:type="gramEnd"/>
      <w:r w:rsidRPr="001430C4">
        <w:rPr>
          <w:strike/>
          <w:kern w:val="2"/>
        </w:rPr>
        <w:t xml:space="preserve"> in this calculation. If </w:t>
      </w:r>
      <w:proofErr w:type="gramStart"/>
      <w:r w:rsidRPr="001430C4">
        <w:rPr>
          <w:strike/>
          <w:kern w:val="2"/>
        </w:rPr>
        <w:t>a generator is served by two or more units</w:t>
      </w:r>
      <w:proofErr w:type="gramEnd"/>
      <w:r w:rsidRPr="001430C4">
        <w:rPr>
          <w:strike/>
          <w:kern w:val="2"/>
        </w:rPr>
        <w:t>, then the gross electrical output of the generator shall be attributed to each unit in proportion to the unit's share of the total control period heat input of all the units for the specified ozone season.</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c.</w:t>
      </w:r>
      <w:r w:rsidRPr="001430C4">
        <w:rPr>
          <w:strike/>
          <w:kern w:val="2"/>
        </w:rPr>
        <w:tab/>
        <w:t xml:space="preserve">Utility Units. </w:t>
      </w:r>
      <w:proofErr w:type="gramStart"/>
      <w:r w:rsidRPr="001430C4">
        <w:rPr>
          <w:strike/>
          <w:kern w:val="2"/>
        </w:rPr>
        <w:t>The department shall allocate CAIR NO</w:t>
      </w:r>
      <w:r w:rsidRPr="001430C4">
        <w:rPr>
          <w:strike/>
          <w:kern w:val="2"/>
          <w:vertAlign w:val="subscript"/>
        </w:rPr>
        <w:t>x</w:t>
      </w:r>
      <w:r w:rsidRPr="001430C4">
        <w:rPr>
          <w:strike/>
          <w:kern w:val="2"/>
        </w:rPr>
        <w:t xml:space="preserve"> ozone season allowances to each CAIR utility unit by multiplying the CAIR NO</w:t>
      </w:r>
      <w:r w:rsidRPr="001430C4">
        <w:rPr>
          <w:strike/>
          <w:kern w:val="2"/>
          <w:vertAlign w:val="subscript"/>
        </w:rPr>
        <w:t>x</w:t>
      </w:r>
      <w:r w:rsidRPr="001430C4">
        <w:rPr>
          <w:strike/>
          <w:kern w:val="2"/>
        </w:rPr>
        <w:t xml:space="preserve"> ozone season budget for Louisiana (40 CFR 97.340), minus the allowances allocated under Subparagraph B.2.</w:t>
      </w:r>
      <w:proofErr w:type="spellStart"/>
      <w:r w:rsidRPr="001430C4">
        <w:rPr>
          <w:strike/>
          <w:kern w:val="2"/>
        </w:rPr>
        <w:t>a</w:t>
      </w:r>
      <w:proofErr w:type="spellEnd"/>
      <w:r w:rsidRPr="001430C4">
        <w:rPr>
          <w:strike/>
          <w:kern w:val="2"/>
        </w:rPr>
        <w:t xml:space="preserve"> of this Section, by the ratio of the ozone season adjusted heat input of the CAIR utility unit to the total amount of ozone season adjusted heat input and converted heat input of all CAIR utility units and certified units in the state and rounding to the nearest whole allowance.</w:t>
      </w:r>
      <w:proofErr w:type="gramEnd"/>
      <w:r w:rsidRPr="001430C4">
        <w:rPr>
          <w:strike/>
          <w:kern w:val="2"/>
        </w:rPr>
        <w:t xml:space="preserve"> The ozone season adjusted heat input (in MMBTU) used with respect to the CAIR NO</w:t>
      </w:r>
      <w:r w:rsidRPr="001430C4">
        <w:rPr>
          <w:strike/>
          <w:kern w:val="2"/>
          <w:vertAlign w:val="subscript"/>
        </w:rPr>
        <w:t>x</w:t>
      </w:r>
      <w:r w:rsidRPr="001430C4">
        <w:rPr>
          <w:strike/>
          <w:kern w:val="2"/>
        </w:rPr>
        <w:t xml:space="preserve"> ozone season allowance for each CAIR utility unit shall be established as follows.</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proofErr w:type="spellStart"/>
      <w:proofErr w:type="gramStart"/>
      <w:r w:rsidRPr="001430C4">
        <w:rPr>
          <w:strike/>
          <w:kern w:val="2"/>
        </w:rPr>
        <w:t>i</w:t>
      </w:r>
      <w:proofErr w:type="spellEnd"/>
      <w:r w:rsidRPr="001430C4">
        <w:rPr>
          <w:strike/>
          <w:kern w:val="2"/>
        </w:rPr>
        <w:t>.</w:t>
      </w:r>
      <w:r w:rsidRPr="001430C4">
        <w:rPr>
          <w:strike/>
          <w:kern w:val="2"/>
        </w:rPr>
        <w:tab/>
        <w:t xml:space="preserve">The average of the unit's control period ozone season adjusted heat input for the three calendar years immediately preceding the deadline for submission </w:t>
      </w:r>
      <w:r w:rsidRPr="001430C4">
        <w:rPr>
          <w:strike/>
          <w:kern w:val="2"/>
        </w:rPr>
        <w:lastRenderedPageBreak/>
        <w:t>of allocations to the administrator shall be used (except that the allocation submitted in 2007 shall use the average of the control period ozone season adjusted heat input for calendar years 2002, 2003, and 2004), with the control period ozone season adjusted heat input for each year calculated as follows.</w:t>
      </w:r>
      <w:proofErr w:type="gramEnd"/>
    </w:p>
    <w:p w:rsidR="001430C4" w:rsidRPr="001430C4" w:rsidRDefault="001430C4" w:rsidP="001430C4">
      <w:pPr>
        <w:tabs>
          <w:tab w:val="left" w:pos="720"/>
        </w:tabs>
        <w:spacing w:line="480" w:lineRule="auto"/>
        <w:jc w:val="both"/>
        <w:outlineLvl w:val="7"/>
        <w:rPr>
          <w:strike/>
          <w:kern w:val="2"/>
        </w:rPr>
      </w:pPr>
      <w:r w:rsidRPr="001430C4">
        <w:rPr>
          <w:kern w:val="2"/>
        </w:rPr>
        <w:tab/>
      </w:r>
      <w:r w:rsidRPr="001430C4">
        <w:rPr>
          <w:kern w:val="2"/>
        </w:rPr>
        <w:tab/>
      </w:r>
      <w:r w:rsidRPr="001430C4">
        <w:rPr>
          <w:kern w:val="2"/>
        </w:rPr>
        <w:tab/>
      </w:r>
      <w:r w:rsidRPr="001430C4">
        <w:rPr>
          <w:kern w:val="2"/>
        </w:rPr>
        <w:tab/>
      </w:r>
      <w:r w:rsidRPr="001430C4">
        <w:rPr>
          <w:kern w:val="2"/>
        </w:rPr>
        <w:tab/>
      </w:r>
      <w:r w:rsidRPr="001430C4">
        <w:rPr>
          <w:strike/>
          <w:kern w:val="2"/>
        </w:rPr>
        <w:t>(a).</w:t>
      </w:r>
      <w:r w:rsidRPr="001430C4">
        <w:rPr>
          <w:strike/>
          <w:kern w:val="2"/>
        </w:rPr>
        <w:tab/>
        <w:t>If the unit is solid fuel-fired during a year, the unit's control period ozone season heat input for that year shall be multiplied by 100 percent.</w:t>
      </w:r>
    </w:p>
    <w:p w:rsidR="001430C4" w:rsidRPr="001430C4" w:rsidRDefault="001430C4" w:rsidP="001430C4">
      <w:pPr>
        <w:tabs>
          <w:tab w:val="left" w:pos="720"/>
        </w:tabs>
        <w:spacing w:line="480" w:lineRule="auto"/>
        <w:jc w:val="both"/>
        <w:outlineLvl w:val="7"/>
        <w:rPr>
          <w:strike/>
          <w:kern w:val="2"/>
        </w:rPr>
      </w:pPr>
      <w:r w:rsidRPr="001430C4">
        <w:rPr>
          <w:kern w:val="2"/>
        </w:rPr>
        <w:tab/>
      </w:r>
      <w:r w:rsidRPr="001430C4">
        <w:rPr>
          <w:kern w:val="2"/>
        </w:rPr>
        <w:tab/>
      </w:r>
      <w:r w:rsidRPr="001430C4">
        <w:rPr>
          <w:kern w:val="2"/>
        </w:rPr>
        <w:tab/>
      </w:r>
      <w:r w:rsidRPr="001430C4">
        <w:rPr>
          <w:kern w:val="2"/>
        </w:rPr>
        <w:tab/>
      </w:r>
      <w:r w:rsidRPr="001430C4">
        <w:rPr>
          <w:kern w:val="2"/>
        </w:rPr>
        <w:tab/>
      </w:r>
      <w:r w:rsidRPr="001430C4">
        <w:rPr>
          <w:strike/>
          <w:kern w:val="2"/>
        </w:rPr>
        <w:t>(b).</w:t>
      </w:r>
      <w:r w:rsidRPr="001430C4">
        <w:rPr>
          <w:strike/>
          <w:kern w:val="2"/>
        </w:rPr>
        <w:tab/>
        <w:t>If the unit is liquid fuel-fired during a year, the unit's control period ozone season heat input for that year shall be multiplied by 60 percent.</w:t>
      </w:r>
    </w:p>
    <w:p w:rsidR="001430C4" w:rsidRPr="001430C4" w:rsidRDefault="001430C4" w:rsidP="001430C4">
      <w:pPr>
        <w:tabs>
          <w:tab w:val="left" w:pos="720"/>
        </w:tabs>
        <w:spacing w:line="480" w:lineRule="auto"/>
        <w:jc w:val="both"/>
        <w:outlineLvl w:val="7"/>
        <w:rPr>
          <w:strike/>
          <w:kern w:val="2"/>
        </w:rPr>
      </w:pPr>
      <w:r w:rsidRPr="001430C4">
        <w:rPr>
          <w:kern w:val="2"/>
        </w:rPr>
        <w:tab/>
      </w:r>
      <w:r w:rsidRPr="001430C4">
        <w:rPr>
          <w:kern w:val="2"/>
        </w:rPr>
        <w:tab/>
      </w:r>
      <w:r w:rsidRPr="001430C4">
        <w:rPr>
          <w:kern w:val="2"/>
        </w:rPr>
        <w:tab/>
      </w:r>
      <w:r w:rsidRPr="001430C4">
        <w:rPr>
          <w:kern w:val="2"/>
        </w:rPr>
        <w:tab/>
      </w:r>
      <w:r w:rsidRPr="001430C4">
        <w:rPr>
          <w:kern w:val="2"/>
        </w:rPr>
        <w:tab/>
      </w:r>
      <w:r w:rsidRPr="001430C4">
        <w:rPr>
          <w:strike/>
          <w:kern w:val="2"/>
        </w:rPr>
        <w:t>(c).</w:t>
      </w:r>
      <w:r w:rsidRPr="001430C4">
        <w:rPr>
          <w:strike/>
          <w:kern w:val="2"/>
        </w:rPr>
        <w:tab/>
        <w:t xml:space="preserve">If the unit is not subject to </w:t>
      </w:r>
      <w:proofErr w:type="spellStart"/>
      <w:r w:rsidRPr="001430C4">
        <w:rPr>
          <w:strike/>
          <w:kern w:val="2"/>
        </w:rPr>
        <w:t>Subclause</w:t>
      </w:r>
      <w:proofErr w:type="spellEnd"/>
      <w:r w:rsidRPr="001430C4">
        <w:rPr>
          <w:strike/>
          <w:kern w:val="2"/>
        </w:rPr>
        <w:t xml:space="preserve"> B.2.c.i.(a) or (b) of this Section, the unit's control period ozone season heat input for the year shall be multiplied by 40 percent.</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r w:rsidRPr="001430C4">
        <w:rPr>
          <w:strike/>
          <w:kern w:val="2"/>
        </w:rPr>
        <w:t>ii.</w:t>
      </w:r>
      <w:r w:rsidRPr="001430C4">
        <w:rPr>
          <w:strike/>
          <w:kern w:val="2"/>
        </w:rPr>
        <w:tab/>
        <w:t>A unit's control period ozone season heat input, fuel type, and total tons of NO</w:t>
      </w:r>
      <w:r w:rsidRPr="001430C4">
        <w:rPr>
          <w:strike/>
          <w:kern w:val="2"/>
          <w:vertAlign w:val="subscript"/>
        </w:rPr>
        <w:t>x</w:t>
      </w:r>
      <w:r w:rsidRPr="001430C4">
        <w:rPr>
          <w:strike/>
          <w:kern w:val="2"/>
        </w:rPr>
        <w:t xml:space="preserve"> ozone season emissions during a calendar year shall be determined in accordance with 40 CFR Part 97 and reported in accordance with LAC 33:III.919.</w:t>
      </w:r>
    </w:p>
    <w:p w:rsidR="001430C4" w:rsidRPr="001430C4" w:rsidRDefault="001430C4" w:rsidP="001430C4">
      <w:pPr>
        <w:tabs>
          <w:tab w:val="left" w:pos="720"/>
        </w:tabs>
        <w:spacing w:line="480" w:lineRule="auto"/>
        <w:jc w:val="both"/>
        <w:outlineLvl w:val="4"/>
        <w:rPr>
          <w:strike/>
          <w:kern w:val="2"/>
        </w:rPr>
      </w:pPr>
      <w:r w:rsidRPr="001430C4">
        <w:rPr>
          <w:kern w:val="2"/>
        </w:rPr>
        <w:tab/>
      </w:r>
      <w:r w:rsidRPr="001430C4">
        <w:rPr>
          <w:kern w:val="2"/>
        </w:rPr>
        <w:tab/>
      </w:r>
      <w:r w:rsidRPr="001430C4">
        <w:rPr>
          <w:strike/>
          <w:kern w:val="2"/>
        </w:rPr>
        <w:t>3.</w:t>
      </w:r>
      <w:r w:rsidRPr="001430C4">
        <w:rPr>
          <w:strike/>
          <w:kern w:val="2"/>
        </w:rPr>
        <w:tab/>
        <w:t>Timing Requirements for CAIR NO</w:t>
      </w:r>
      <w:r w:rsidRPr="001430C4">
        <w:rPr>
          <w:strike/>
          <w:kern w:val="2"/>
          <w:vertAlign w:val="subscript"/>
        </w:rPr>
        <w:t>x</w:t>
      </w:r>
      <w:r w:rsidRPr="001430C4">
        <w:rPr>
          <w:strike/>
          <w:kern w:val="2"/>
        </w:rPr>
        <w:t xml:space="preserve"> Ozone Season Allowance Allocations</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a.</w:t>
      </w:r>
      <w:r w:rsidRPr="001430C4">
        <w:rPr>
          <w:strike/>
          <w:kern w:val="2"/>
        </w:rPr>
        <w:tab/>
        <w:t>By April 30, 2007, the department shall submit to the administrator the CAIR NO</w:t>
      </w:r>
      <w:r w:rsidRPr="001430C4">
        <w:rPr>
          <w:strike/>
          <w:kern w:val="2"/>
          <w:vertAlign w:val="subscript"/>
        </w:rPr>
        <w:t>x</w:t>
      </w:r>
      <w:r w:rsidRPr="001430C4">
        <w:rPr>
          <w:strike/>
          <w:kern w:val="2"/>
        </w:rPr>
        <w:t xml:space="preserve"> </w:t>
      </w:r>
      <w:proofErr w:type="gramStart"/>
      <w:r w:rsidRPr="001430C4">
        <w:rPr>
          <w:strike/>
          <w:kern w:val="2"/>
        </w:rPr>
        <w:t>ozone season allowance allocations</w:t>
      </w:r>
      <w:proofErr w:type="gramEnd"/>
      <w:r w:rsidRPr="001430C4">
        <w:rPr>
          <w:strike/>
          <w:kern w:val="2"/>
        </w:rPr>
        <w:t>, in a format prescribed by the administrator and in accordance with Paragraph B.2 of this Section, for the control periods in 2009, 2010, and 2011.</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proofErr w:type="gramStart"/>
      <w:r w:rsidRPr="001430C4">
        <w:rPr>
          <w:strike/>
          <w:kern w:val="2"/>
        </w:rPr>
        <w:t>b.</w:t>
      </w:r>
      <w:r w:rsidRPr="001430C4">
        <w:rPr>
          <w:strike/>
          <w:kern w:val="2"/>
        </w:rPr>
        <w:tab/>
        <w:t>By October 31, 2008, for the year 2012, and by October 31 of each year thereafter, the department shall submit to the administrator the CAIR NO</w:t>
      </w:r>
      <w:r w:rsidRPr="001430C4">
        <w:rPr>
          <w:strike/>
          <w:kern w:val="2"/>
          <w:vertAlign w:val="subscript"/>
        </w:rPr>
        <w:t>x</w:t>
      </w:r>
      <w:r w:rsidRPr="001430C4">
        <w:rPr>
          <w:strike/>
          <w:kern w:val="2"/>
        </w:rPr>
        <w:t xml:space="preserve"> ozone season allowance allocations, in a format prescribed by the administrator and in accordance with </w:t>
      </w:r>
      <w:r w:rsidRPr="001430C4">
        <w:rPr>
          <w:strike/>
          <w:kern w:val="2"/>
        </w:rPr>
        <w:lastRenderedPageBreak/>
        <w:t>Paragraph B.2 of this Section, for the control period in the fourth year after the year of the applicable deadline for submission under this Section.</w:t>
      </w:r>
      <w:proofErr w:type="gramEnd"/>
    </w:p>
    <w:p w:rsidR="001430C4" w:rsidRPr="001430C4" w:rsidRDefault="001430C4" w:rsidP="001430C4">
      <w:pPr>
        <w:tabs>
          <w:tab w:val="left" w:pos="720"/>
        </w:tabs>
        <w:spacing w:line="480" w:lineRule="auto"/>
        <w:jc w:val="both"/>
        <w:outlineLvl w:val="4"/>
        <w:rPr>
          <w:strike/>
          <w:kern w:val="2"/>
        </w:rPr>
      </w:pPr>
      <w:r w:rsidRPr="001430C4">
        <w:rPr>
          <w:kern w:val="2"/>
        </w:rPr>
        <w:tab/>
      </w:r>
      <w:r w:rsidRPr="001430C4">
        <w:rPr>
          <w:kern w:val="2"/>
        </w:rPr>
        <w:tab/>
      </w:r>
      <w:r w:rsidRPr="001430C4">
        <w:rPr>
          <w:strike/>
          <w:kern w:val="2"/>
        </w:rPr>
        <w:t>4.</w:t>
      </w:r>
      <w:r w:rsidRPr="001430C4">
        <w:rPr>
          <w:strike/>
          <w:kern w:val="2"/>
        </w:rPr>
        <w:tab/>
        <w:t xml:space="preserve">Reclassification of Units. When the ownership of a unit </w:t>
      </w:r>
      <w:proofErr w:type="gramStart"/>
      <w:r w:rsidRPr="001430C4">
        <w:rPr>
          <w:strike/>
          <w:kern w:val="2"/>
        </w:rPr>
        <w:t>is transferred</w:t>
      </w:r>
      <w:proofErr w:type="gramEnd"/>
      <w:r w:rsidRPr="001430C4">
        <w:rPr>
          <w:strike/>
          <w:kern w:val="2"/>
        </w:rPr>
        <w:t xml:space="preserve">, the unit is reclassified accordingly as a utility or non-utility unit. The department will allocate future allowances using the new classification, beginning with the allocation submission deadline after the effective date of the unit reclassification. The electric public utility must notify the department of the transfer of ownership. No changes </w:t>
      </w:r>
      <w:proofErr w:type="gramStart"/>
      <w:r w:rsidRPr="001430C4">
        <w:rPr>
          <w:strike/>
          <w:kern w:val="2"/>
        </w:rPr>
        <w:t>will be made</w:t>
      </w:r>
      <w:proofErr w:type="gramEnd"/>
      <w:r w:rsidRPr="001430C4">
        <w:rPr>
          <w:strike/>
          <w:kern w:val="2"/>
        </w:rPr>
        <w:t xml:space="preserve"> without written notification from the electric public utility.</w:t>
      </w:r>
    </w:p>
    <w:p w:rsidR="001430C4" w:rsidRPr="001430C4" w:rsidRDefault="001430C4" w:rsidP="001430C4">
      <w:pPr>
        <w:tabs>
          <w:tab w:val="left" w:pos="720"/>
        </w:tabs>
        <w:spacing w:line="480" w:lineRule="auto"/>
        <w:jc w:val="both"/>
        <w:outlineLvl w:val="3"/>
        <w:rPr>
          <w:strike/>
          <w:kern w:val="2"/>
        </w:rPr>
      </w:pPr>
      <w:r w:rsidRPr="001430C4">
        <w:rPr>
          <w:kern w:val="2"/>
        </w:rPr>
        <w:tab/>
      </w:r>
      <w:r w:rsidRPr="001430C4">
        <w:rPr>
          <w:strike/>
          <w:kern w:val="2"/>
        </w:rPr>
        <w:t>C.</w:t>
      </w:r>
      <w:r w:rsidRPr="001430C4">
        <w:rPr>
          <w:strike/>
          <w:kern w:val="2"/>
        </w:rPr>
        <w:tab/>
        <w:t>Annual Sulfur Dioxide. Except as specified in this Section, the federal SO</w:t>
      </w:r>
      <w:r w:rsidRPr="001430C4">
        <w:rPr>
          <w:strike/>
          <w:kern w:val="2"/>
          <w:vertAlign w:val="subscript"/>
        </w:rPr>
        <w:t xml:space="preserve">2 </w:t>
      </w:r>
      <w:r w:rsidRPr="001430C4">
        <w:rPr>
          <w:strike/>
          <w:kern w:val="2"/>
        </w:rPr>
        <w:t xml:space="preserve">model Rule, published in the </w:t>
      </w:r>
      <w:r w:rsidRPr="001430C4">
        <w:rPr>
          <w:i/>
          <w:strike/>
          <w:kern w:val="2"/>
        </w:rPr>
        <w:t xml:space="preserve">Code of Federal Regulation </w:t>
      </w:r>
      <w:r w:rsidRPr="001430C4">
        <w:rPr>
          <w:strike/>
          <w:kern w:val="2"/>
        </w:rPr>
        <w:t xml:space="preserve">at 40 CFR 96, July 1, 2015, </w:t>
      </w:r>
      <w:proofErr w:type="gramStart"/>
      <w:r w:rsidRPr="001430C4">
        <w:rPr>
          <w:strike/>
          <w:kern w:val="2"/>
        </w:rPr>
        <w:t>is hereby incorporated</w:t>
      </w:r>
      <w:proofErr w:type="gramEnd"/>
      <w:r w:rsidRPr="001430C4">
        <w:rPr>
          <w:strike/>
          <w:kern w:val="2"/>
        </w:rPr>
        <w:t xml:space="preserve"> by reference, except for subpart III-CAIR SO</w:t>
      </w:r>
      <w:r w:rsidRPr="001430C4">
        <w:rPr>
          <w:strike/>
          <w:kern w:val="2"/>
          <w:vertAlign w:val="subscript"/>
        </w:rPr>
        <w:t>2</w:t>
      </w:r>
      <w:r w:rsidRPr="001430C4">
        <w:rPr>
          <w:strike/>
          <w:kern w:val="2"/>
        </w:rPr>
        <w:t xml:space="preserve"> opt-in units and all references to opt-in units.</w:t>
      </w:r>
    </w:p>
    <w:p w:rsidR="001430C4" w:rsidRPr="001430C4" w:rsidRDefault="001430C4" w:rsidP="001430C4">
      <w:pPr>
        <w:tabs>
          <w:tab w:val="left" w:pos="720"/>
        </w:tabs>
        <w:spacing w:line="480" w:lineRule="auto"/>
        <w:jc w:val="both"/>
        <w:outlineLvl w:val="3"/>
        <w:rPr>
          <w:strike/>
          <w:kern w:val="2"/>
        </w:rPr>
      </w:pPr>
      <w:r w:rsidRPr="001430C4">
        <w:rPr>
          <w:kern w:val="2"/>
        </w:rPr>
        <w:tab/>
      </w:r>
      <w:r w:rsidRPr="001430C4">
        <w:rPr>
          <w:strike/>
          <w:kern w:val="2"/>
        </w:rPr>
        <w:t>D.</w:t>
      </w:r>
      <w:r w:rsidRPr="001430C4">
        <w:rPr>
          <w:strike/>
          <w:kern w:val="2"/>
        </w:rPr>
        <w:tab/>
        <w:t xml:space="preserve">The volumes containing those federal regulations incorporated by reference </w:t>
      </w:r>
      <w:proofErr w:type="gramStart"/>
      <w:r w:rsidRPr="001430C4">
        <w:rPr>
          <w:strike/>
          <w:kern w:val="2"/>
        </w:rPr>
        <w:t>may be obtained</w:t>
      </w:r>
      <w:proofErr w:type="gramEnd"/>
      <w:r w:rsidRPr="001430C4">
        <w:rPr>
          <w:strike/>
          <w:kern w:val="2"/>
        </w:rPr>
        <w:t xml:space="preserve"> from the Superintendent of Documents, United States Government Printing Office, Washington, D.C. 20402 or their website, www.gpoaccess.gov/cfr/index.html.</w:t>
      </w:r>
    </w:p>
    <w:p w:rsidR="001430C4" w:rsidRPr="001430C4" w:rsidRDefault="001430C4" w:rsidP="001430C4">
      <w:pPr>
        <w:tabs>
          <w:tab w:val="left" w:pos="720"/>
        </w:tabs>
        <w:spacing w:line="480" w:lineRule="auto"/>
        <w:jc w:val="both"/>
        <w:outlineLvl w:val="3"/>
        <w:rPr>
          <w:strike/>
          <w:kern w:val="2"/>
        </w:rPr>
      </w:pPr>
      <w:r w:rsidRPr="001430C4">
        <w:rPr>
          <w:kern w:val="2"/>
        </w:rPr>
        <w:tab/>
      </w:r>
      <w:r w:rsidRPr="001430C4">
        <w:rPr>
          <w:strike/>
          <w:kern w:val="2"/>
        </w:rPr>
        <w:t>E.</w:t>
      </w:r>
      <w:r w:rsidRPr="001430C4">
        <w:rPr>
          <w:strike/>
          <w:kern w:val="2"/>
        </w:rPr>
        <w:tab/>
        <w:t xml:space="preserve">Modifications or Exceptions. </w:t>
      </w:r>
      <w:proofErr w:type="gramStart"/>
      <w:r w:rsidRPr="001430C4">
        <w:rPr>
          <w:strike/>
          <w:kern w:val="2"/>
        </w:rPr>
        <w:t>A copy of each report or notice or of any other documentation required by the referenced regulations (i.e., 40 CFR Part 96) to be provided to "the Administrator" shall be provided to the Office of Environmental Services by the person required to make the submission to "the Administrator."</w:t>
      </w:r>
      <w:proofErr w:type="gramEnd"/>
    </w:p>
    <w:p w:rsidR="001430C4" w:rsidRPr="001430C4" w:rsidRDefault="001430C4" w:rsidP="001430C4">
      <w:pPr>
        <w:tabs>
          <w:tab w:val="left" w:pos="288"/>
        </w:tabs>
        <w:jc w:val="both"/>
        <w:rPr>
          <w:kern w:val="2"/>
        </w:rPr>
      </w:pPr>
      <w:r w:rsidRPr="001430C4">
        <w:rPr>
          <w:kern w:val="2"/>
        </w:rPr>
        <w:tab/>
        <w:t>AUTHORITY NOTE:</w:t>
      </w:r>
      <w:r w:rsidRPr="001430C4">
        <w:rPr>
          <w:kern w:val="2"/>
        </w:rPr>
        <w:tab/>
        <w:t>Promulgated in accordance with R.S. 30.2054.</w:t>
      </w:r>
    </w:p>
    <w:p w:rsidR="001430C4" w:rsidRPr="001430C4" w:rsidRDefault="001430C4" w:rsidP="001430C4">
      <w:pPr>
        <w:tabs>
          <w:tab w:val="left" w:pos="288"/>
        </w:tabs>
        <w:spacing w:after="60"/>
        <w:jc w:val="both"/>
        <w:rPr>
          <w:kern w:val="2"/>
        </w:rPr>
      </w:pPr>
      <w:r w:rsidRPr="001430C4">
        <w:rPr>
          <w:kern w:val="2"/>
        </w:rPr>
        <w:tab/>
      </w:r>
      <w:proofErr w:type="gramStart"/>
      <w:r w:rsidRPr="001430C4">
        <w:rPr>
          <w:kern w:val="2"/>
        </w:rPr>
        <w:t>HISTORICAL NOTE:</w:t>
      </w:r>
      <w:r w:rsidRPr="001430C4">
        <w:rPr>
          <w:kern w:val="2"/>
        </w:rPr>
        <w:tab/>
        <w:t xml:space="preserve">Promulgated by the Department of Environmental Quality, Office of the Secretary, Legal Affairs Division, LR 32:1597 (September 2006), amended LR 33:1622 (August 2007), LR 33:2083 (October 2007), LR 34:978 (June 2008), LR 35:1107 (June 2009), LR 36:2272 (October 2010), </w:t>
      </w:r>
      <w:proofErr w:type="spellStart"/>
      <w:r w:rsidRPr="001430C4">
        <w:rPr>
          <w:kern w:val="2"/>
        </w:rPr>
        <w:t>repromulgated</w:t>
      </w:r>
      <w:proofErr w:type="spellEnd"/>
      <w:r w:rsidRPr="001430C4">
        <w:rPr>
          <w:kern w:val="2"/>
        </w:rPr>
        <w:t xml:space="preserve"> LR 36:2551 (November 2010), amended LR 37:2989 (October 2011), LR 38:1229 (May 2012), amended by the Office of the Secretary, Legal Division, LR 39:1276 (May 2013), LR 40:1334 (July 2014), LR 42:1085 (July 2016); </w:t>
      </w:r>
      <w:r w:rsidR="00CF27E0">
        <w:rPr>
          <w:kern w:val="2"/>
        </w:rPr>
        <w:t>repealed</w:t>
      </w:r>
      <w:bookmarkStart w:id="2" w:name="_GoBack"/>
      <w:bookmarkEnd w:id="2"/>
      <w:r w:rsidRPr="001430C4">
        <w:rPr>
          <w:kern w:val="2"/>
        </w:rPr>
        <w:t xml:space="preserve"> by the Office of the Secretary, Legal Affairs and Criminal Investigations Division, LR 49:</w:t>
      </w:r>
      <w:proofErr w:type="gramEnd"/>
    </w:p>
    <w:p w:rsidR="001430C4" w:rsidRDefault="001430C4" w:rsidP="000342D4">
      <w:pPr>
        <w:tabs>
          <w:tab w:val="center" w:pos="5276"/>
        </w:tabs>
        <w:jc w:val="center"/>
        <w:rPr>
          <w:rFonts w:ascii="Arial" w:hAnsi="Arial" w:cs="Arial"/>
          <w:sz w:val="20"/>
          <w:szCs w:val="20"/>
        </w:rPr>
      </w:pPr>
    </w:p>
    <w:p w:rsidR="009A1785" w:rsidRPr="000342D4" w:rsidRDefault="009A1785" w:rsidP="000342D4">
      <w:pPr>
        <w:tabs>
          <w:tab w:val="center" w:pos="5276"/>
        </w:tabs>
        <w:jc w:val="center"/>
        <w:rPr>
          <w:rFonts w:ascii="Arial" w:hAnsi="Arial" w:cs="Arial"/>
          <w:sz w:val="20"/>
          <w:szCs w:val="20"/>
        </w:rPr>
      </w:pPr>
      <w:r w:rsidRPr="000342D4">
        <w:rPr>
          <w:rFonts w:ascii="Arial" w:hAnsi="Arial" w:cs="Arial"/>
          <w:sz w:val="20"/>
          <w:szCs w:val="20"/>
        </w:rPr>
        <w:t>FISCAL AND ECONOMIC IMPACT STATEMENT</w:t>
      </w:r>
    </w:p>
    <w:p w:rsidR="009A1785" w:rsidRPr="000342D4" w:rsidRDefault="009C2423" w:rsidP="002056A5">
      <w:pPr>
        <w:tabs>
          <w:tab w:val="center" w:pos="5276"/>
        </w:tabs>
        <w:ind w:right="-180"/>
        <w:rPr>
          <w:rFonts w:ascii="Arial" w:hAnsi="Arial" w:cs="Arial"/>
          <w:sz w:val="20"/>
          <w:szCs w:val="20"/>
        </w:rPr>
      </w:pPr>
      <w:r>
        <w:rPr>
          <w:rFonts w:ascii="Arial" w:hAnsi="Arial" w:cs="Arial"/>
          <w:sz w:val="20"/>
          <w:szCs w:val="20"/>
        </w:rPr>
        <w:t xml:space="preserve">                                                          </w:t>
      </w:r>
      <w:r w:rsidR="009A1785" w:rsidRPr="000342D4">
        <w:rPr>
          <w:rFonts w:ascii="Arial" w:hAnsi="Arial" w:cs="Arial"/>
          <w:sz w:val="20"/>
          <w:szCs w:val="20"/>
        </w:rPr>
        <w:t>FOR ADMINISTRATIVE RULES</w:t>
      </w:r>
      <w:r w:rsidR="000342D4">
        <w:rPr>
          <w:rFonts w:ascii="Arial" w:hAnsi="Arial" w:cs="Arial"/>
          <w:sz w:val="20"/>
          <w:szCs w:val="20"/>
        </w:rPr>
        <w:tab/>
      </w:r>
      <w:r>
        <w:rPr>
          <w:rFonts w:ascii="Arial" w:hAnsi="Arial" w:cs="Arial"/>
          <w:sz w:val="20"/>
          <w:szCs w:val="20"/>
        </w:rPr>
        <w:tab/>
      </w:r>
      <w:r w:rsidR="00AB172A">
        <w:rPr>
          <w:rFonts w:ascii="Arial" w:hAnsi="Arial" w:cs="Arial"/>
          <w:sz w:val="20"/>
          <w:szCs w:val="20"/>
        </w:rPr>
        <w:t xml:space="preserve">    </w:t>
      </w:r>
      <w:r w:rsidR="003A4119">
        <w:rPr>
          <w:rFonts w:ascii="Arial" w:hAnsi="Arial" w:cs="Arial"/>
          <w:sz w:val="20"/>
          <w:szCs w:val="20"/>
        </w:rPr>
        <w:t xml:space="preserve"> </w:t>
      </w:r>
      <w:r w:rsidR="00AB172A">
        <w:rPr>
          <w:rFonts w:ascii="Arial" w:hAnsi="Arial" w:cs="Arial"/>
          <w:sz w:val="20"/>
          <w:szCs w:val="20"/>
        </w:rPr>
        <w:t xml:space="preserve"> </w:t>
      </w:r>
      <w:r w:rsidRPr="000342D4">
        <w:rPr>
          <w:rFonts w:ascii="Arial" w:hAnsi="Arial" w:cs="Arial"/>
          <w:sz w:val="20"/>
          <w:szCs w:val="20"/>
        </w:rPr>
        <w:t xml:space="preserve">LOG #: </w:t>
      </w:r>
      <w:r w:rsidR="002056A5">
        <w:rPr>
          <w:rFonts w:ascii="Arial" w:hAnsi="Arial" w:cs="Arial"/>
          <w:sz w:val="20"/>
          <w:szCs w:val="20"/>
          <w:u w:val="single"/>
        </w:rPr>
        <w:t>AQ</w:t>
      </w:r>
      <w:r w:rsidR="00806BC9">
        <w:rPr>
          <w:rFonts w:ascii="Arial" w:hAnsi="Arial" w:cs="Arial"/>
          <w:sz w:val="20"/>
          <w:szCs w:val="20"/>
          <w:u w:val="single"/>
        </w:rPr>
        <w:t>3</w:t>
      </w:r>
      <w:r w:rsidR="00427BA7">
        <w:rPr>
          <w:rFonts w:ascii="Arial" w:hAnsi="Arial" w:cs="Arial"/>
          <w:sz w:val="20"/>
          <w:szCs w:val="20"/>
          <w:u w:val="single"/>
        </w:rPr>
        <w:t>92</w:t>
      </w:r>
    </w:p>
    <w:p w:rsidR="00F652EE" w:rsidRDefault="00F652EE" w:rsidP="00210F43">
      <w:pPr>
        <w:rPr>
          <w:rFonts w:ascii="Arial" w:hAnsi="Arial" w:cs="Arial"/>
          <w:sz w:val="20"/>
          <w:szCs w:val="20"/>
        </w:rPr>
      </w:pPr>
    </w:p>
    <w:p w:rsidR="007F723A" w:rsidRPr="000342D4" w:rsidRDefault="007F723A" w:rsidP="00210F43">
      <w:pPr>
        <w:rPr>
          <w:rFonts w:ascii="Arial" w:hAnsi="Arial" w:cs="Arial"/>
          <w:sz w:val="20"/>
          <w:szCs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80"/>
        <w:gridCol w:w="270"/>
        <w:gridCol w:w="1260"/>
        <w:gridCol w:w="3240"/>
      </w:tblGrid>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Person</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Preparing</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Statement:</w:t>
            </w:r>
          </w:p>
        </w:tc>
        <w:tc>
          <w:tcPr>
            <w:tcW w:w="288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Bryan D. Johnston</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Dept.: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Quality</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Phone:</w:t>
            </w:r>
          </w:p>
        </w:tc>
        <w:tc>
          <w:tcPr>
            <w:tcW w:w="2880" w:type="dxa"/>
            <w:tcBorders>
              <w:top w:val="single" w:sz="4" w:space="0" w:color="auto"/>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(225) 219-3</w:t>
            </w:r>
            <w:r>
              <w:rPr>
                <w:rFonts w:ascii="Arial" w:hAnsi="Arial" w:cs="Arial"/>
                <w:sz w:val="20"/>
                <w:szCs w:val="20"/>
              </w:rPr>
              <w:t>450</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Office:</w:t>
            </w:r>
          </w:p>
        </w:tc>
        <w:tc>
          <w:tcPr>
            <w:tcW w:w="3240" w:type="dxa"/>
            <w:tcBorders>
              <w:top w:val="single" w:sz="4" w:space="0" w:color="auto"/>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Services</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7F723A" w:rsidRPr="00F91FCF" w:rsidRDefault="00806BC9" w:rsidP="00525046">
            <w:pPr>
              <w:spacing w:line="240" w:lineRule="exact"/>
              <w:ind w:left="-108"/>
              <w:rPr>
                <w:rFonts w:ascii="Arial" w:hAnsi="Arial" w:cs="Arial"/>
                <w:sz w:val="20"/>
                <w:szCs w:val="20"/>
              </w:rPr>
            </w:pPr>
            <w:r>
              <w:rPr>
                <w:rFonts w:ascii="Arial" w:hAnsi="Arial" w:cs="Arial"/>
                <w:sz w:val="20"/>
                <w:szCs w:val="20"/>
              </w:rPr>
              <w:t>bryan.johnston@la.gov</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r w:rsidRPr="00F91FCF">
              <w:rPr>
                <w:rFonts w:ascii="Arial" w:hAnsi="Arial" w:cs="Arial"/>
                <w:sz w:val="20"/>
                <w:szCs w:val="20"/>
              </w:rPr>
              <w:t>Return Address:</w:t>
            </w: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r>
              <w:rPr>
                <w:rFonts w:ascii="Arial" w:hAnsi="Arial" w:cs="Arial"/>
                <w:sz w:val="20"/>
                <w:szCs w:val="20"/>
              </w:rPr>
              <w:t>602 North Fifth Street</w:t>
            </w: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r w:rsidRPr="00F91FCF">
              <w:rPr>
                <w:rFonts w:ascii="Arial" w:hAnsi="Arial" w:cs="Arial"/>
                <w:sz w:val="20"/>
                <w:szCs w:val="20"/>
              </w:rPr>
              <w:t>Rule Title:</w:t>
            </w:r>
          </w:p>
        </w:tc>
        <w:tc>
          <w:tcPr>
            <w:tcW w:w="3240" w:type="dxa"/>
            <w:tcBorders>
              <w:bottom w:val="single" w:sz="4" w:space="0" w:color="auto"/>
            </w:tcBorders>
            <w:vAlign w:val="bottom"/>
          </w:tcPr>
          <w:p w:rsidR="00806BC9" w:rsidRPr="00F91FCF" w:rsidRDefault="00126817" w:rsidP="00CB6D69">
            <w:pPr>
              <w:spacing w:line="240" w:lineRule="exact"/>
              <w:ind w:left="-115"/>
              <w:rPr>
                <w:rFonts w:ascii="Arial" w:hAnsi="Arial" w:cs="Arial"/>
                <w:sz w:val="20"/>
                <w:szCs w:val="20"/>
              </w:rPr>
            </w:pPr>
            <w:r>
              <w:rPr>
                <w:rFonts w:ascii="Arial" w:hAnsi="Arial" w:cs="Arial"/>
                <w:sz w:val="20"/>
                <w:szCs w:val="20"/>
              </w:rPr>
              <w:t>Repeal of LAC 33:III.506 (Clean Air</w:t>
            </w:r>
          </w:p>
        </w:tc>
      </w:tr>
      <w:tr w:rsidR="00126817" w:rsidTr="00F73292">
        <w:trPr>
          <w:trHeight w:val="259"/>
        </w:trPr>
        <w:tc>
          <w:tcPr>
            <w:tcW w:w="1458" w:type="dxa"/>
            <w:vAlign w:val="bottom"/>
          </w:tcPr>
          <w:p w:rsidR="00126817" w:rsidRPr="00F91FCF" w:rsidRDefault="00126817"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126817" w:rsidRDefault="00126817" w:rsidP="00C44535">
            <w:pPr>
              <w:ind w:left="-108"/>
              <w:rPr>
                <w:rFonts w:ascii="Arial" w:hAnsi="Arial" w:cs="Arial"/>
                <w:sz w:val="20"/>
                <w:szCs w:val="20"/>
              </w:rPr>
            </w:pPr>
            <w:r w:rsidRPr="00F91FCF">
              <w:rPr>
                <w:rFonts w:ascii="Arial" w:hAnsi="Arial" w:cs="Arial"/>
                <w:sz w:val="20"/>
                <w:szCs w:val="20"/>
              </w:rPr>
              <w:t>Baton Rouge, LA  708</w:t>
            </w:r>
            <w:r>
              <w:rPr>
                <w:rFonts w:ascii="Arial" w:hAnsi="Arial" w:cs="Arial"/>
                <w:sz w:val="20"/>
                <w:szCs w:val="20"/>
              </w:rPr>
              <w:t>02</w:t>
            </w:r>
          </w:p>
        </w:tc>
        <w:tc>
          <w:tcPr>
            <w:tcW w:w="270" w:type="dxa"/>
            <w:vAlign w:val="bottom"/>
          </w:tcPr>
          <w:p w:rsidR="00126817" w:rsidRPr="00F91FCF" w:rsidRDefault="00126817" w:rsidP="00525046">
            <w:pPr>
              <w:spacing w:line="240" w:lineRule="exact"/>
              <w:rPr>
                <w:rFonts w:ascii="Arial" w:hAnsi="Arial" w:cs="Arial"/>
                <w:sz w:val="20"/>
                <w:szCs w:val="20"/>
              </w:rPr>
            </w:pPr>
          </w:p>
        </w:tc>
        <w:tc>
          <w:tcPr>
            <w:tcW w:w="1260" w:type="dxa"/>
            <w:vAlign w:val="bottom"/>
          </w:tcPr>
          <w:p w:rsidR="00126817" w:rsidRPr="00F91FCF" w:rsidRDefault="00126817" w:rsidP="00525046">
            <w:pPr>
              <w:spacing w:line="240" w:lineRule="exact"/>
              <w:ind w:left="-108"/>
              <w:rPr>
                <w:rFonts w:ascii="Arial" w:hAnsi="Arial" w:cs="Arial"/>
                <w:sz w:val="20"/>
                <w:szCs w:val="20"/>
              </w:rPr>
            </w:pPr>
          </w:p>
        </w:tc>
        <w:tc>
          <w:tcPr>
            <w:tcW w:w="3240" w:type="dxa"/>
            <w:tcBorders>
              <w:bottom w:val="single" w:sz="4" w:space="0" w:color="auto"/>
            </w:tcBorders>
            <w:vAlign w:val="bottom"/>
          </w:tcPr>
          <w:p w:rsidR="00126817" w:rsidRDefault="00126817" w:rsidP="00CB6D69">
            <w:pPr>
              <w:spacing w:line="240" w:lineRule="exact"/>
              <w:ind w:left="-115"/>
              <w:rPr>
                <w:rFonts w:ascii="Arial" w:hAnsi="Arial" w:cs="Arial"/>
                <w:sz w:val="20"/>
                <w:szCs w:val="20"/>
              </w:rPr>
            </w:pPr>
            <w:r>
              <w:rPr>
                <w:rFonts w:ascii="Arial" w:hAnsi="Arial" w:cs="Arial"/>
                <w:sz w:val="20"/>
                <w:szCs w:val="20"/>
              </w:rPr>
              <w:t>Interstate Rule Requirements)</w:t>
            </w: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806BC9" w:rsidRPr="00F91FCF" w:rsidRDefault="00806BC9" w:rsidP="00CB6D69">
            <w:pPr>
              <w:spacing w:line="240" w:lineRule="exact"/>
              <w:ind w:left="-115"/>
              <w:rPr>
                <w:rFonts w:ascii="Arial" w:hAnsi="Arial" w:cs="Arial"/>
                <w:sz w:val="20"/>
                <w:szCs w:val="20"/>
              </w:rPr>
            </w:pPr>
            <w:r>
              <w:rPr>
                <w:rFonts w:ascii="Arial" w:hAnsi="Arial" w:cs="Arial"/>
                <w:sz w:val="20"/>
                <w:szCs w:val="20"/>
              </w:rPr>
              <w:t>(LAC</w:t>
            </w:r>
            <w:r w:rsidR="00126817">
              <w:rPr>
                <w:rFonts w:ascii="Arial" w:hAnsi="Arial" w:cs="Arial"/>
                <w:sz w:val="20"/>
                <w:szCs w:val="20"/>
              </w:rPr>
              <w:t xml:space="preserve"> 33:III.506</w:t>
            </w:r>
            <w:r w:rsidR="00E03302">
              <w:rPr>
                <w:rFonts w:ascii="Arial" w:hAnsi="Arial" w:cs="Arial"/>
                <w:sz w:val="20"/>
                <w:szCs w:val="20"/>
              </w:rPr>
              <w:t>)</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ight="-108"/>
              <w:rPr>
                <w:rFonts w:ascii="Arial" w:hAnsi="Arial" w:cs="Arial"/>
                <w:sz w:val="20"/>
                <w:szCs w:val="20"/>
              </w:rPr>
            </w:pPr>
            <w:r w:rsidRPr="00F91FCF">
              <w:rPr>
                <w:rFonts w:ascii="Arial" w:hAnsi="Arial" w:cs="Arial"/>
                <w:sz w:val="20"/>
                <w:szCs w:val="20"/>
              </w:rPr>
              <w:t>Date Rule Takes Effect: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Upon Promulgation</w:t>
            </w:r>
          </w:p>
        </w:tc>
      </w:tr>
    </w:tbl>
    <w:p w:rsidR="009A1785" w:rsidRPr="000342D4" w:rsidRDefault="009A1785">
      <w:pPr>
        <w:tabs>
          <w:tab w:val="center" w:pos="5276"/>
        </w:tabs>
        <w:rPr>
          <w:rFonts w:ascii="Arial" w:hAnsi="Arial" w:cs="Arial"/>
          <w:sz w:val="20"/>
          <w:szCs w:val="20"/>
        </w:rPr>
      </w:pPr>
      <w:r w:rsidRPr="000342D4">
        <w:rPr>
          <w:rFonts w:ascii="Arial" w:hAnsi="Arial" w:cs="Arial"/>
          <w:sz w:val="20"/>
          <w:szCs w:val="20"/>
        </w:rPr>
        <w:tab/>
      </w:r>
    </w:p>
    <w:p w:rsidR="00F652EE" w:rsidRPr="000342D4" w:rsidRDefault="00F652EE">
      <w:pPr>
        <w:tabs>
          <w:tab w:val="center" w:pos="5276"/>
        </w:tabs>
        <w:rPr>
          <w:rFonts w:ascii="Arial" w:hAnsi="Arial" w:cs="Arial"/>
          <w:sz w:val="20"/>
          <w:szCs w:val="20"/>
        </w:rPr>
      </w:pPr>
    </w:p>
    <w:p w:rsidR="009A1785" w:rsidRPr="000342D4" w:rsidRDefault="009A1785" w:rsidP="000342D4">
      <w:pPr>
        <w:tabs>
          <w:tab w:val="left" w:pos="4680"/>
          <w:tab w:val="center" w:pos="5276"/>
          <w:tab w:val="left" w:pos="6480"/>
        </w:tabs>
        <w:jc w:val="center"/>
        <w:rPr>
          <w:rFonts w:ascii="Arial" w:hAnsi="Arial" w:cs="Arial"/>
          <w:sz w:val="20"/>
          <w:szCs w:val="20"/>
        </w:rPr>
      </w:pPr>
      <w:r w:rsidRPr="000342D4">
        <w:rPr>
          <w:rFonts w:ascii="Arial" w:hAnsi="Arial" w:cs="Arial"/>
          <w:sz w:val="20"/>
          <w:szCs w:val="20"/>
        </w:rPr>
        <w:t>SUMMARY</w:t>
      </w:r>
    </w:p>
    <w:p w:rsidR="009A1785" w:rsidRPr="000342D4" w:rsidRDefault="009A1785" w:rsidP="000342D4">
      <w:pPr>
        <w:tabs>
          <w:tab w:val="center" w:pos="5276"/>
          <w:tab w:val="left" w:pos="9900"/>
        </w:tabs>
        <w:jc w:val="center"/>
        <w:rPr>
          <w:rFonts w:ascii="Arial" w:hAnsi="Arial" w:cs="Arial"/>
          <w:sz w:val="20"/>
          <w:szCs w:val="20"/>
        </w:rPr>
      </w:pPr>
      <w:r w:rsidRPr="000342D4">
        <w:rPr>
          <w:rFonts w:ascii="Arial" w:hAnsi="Arial" w:cs="Arial"/>
          <w:sz w:val="20"/>
          <w:szCs w:val="20"/>
        </w:rPr>
        <w:t>(Use complete sentences)</w:t>
      </w:r>
    </w:p>
    <w:p w:rsidR="009A1785" w:rsidRPr="000342D4" w:rsidRDefault="009A1785">
      <w:pPr>
        <w:rPr>
          <w:rFonts w:ascii="Arial" w:hAnsi="Arial" w:cs="Arial"/>
          <w:sz w:val="20"/>
          <w:szCs w:val="20"/>
        </w:rPr>
      </w:pPr>
    </w:p>
    <w:p w:rsidR="009A1785" w:rsidRPr="000342D4" w:rsidRDefault="009A1785">
      <w:pPr>
        <w:rPr>
          <w:rFonts w:ascii="Arial" w:hAnsi="Arial" w:cs="Arial"/>
          <w:sz w:val="20"/>
          <w:szCs w:val="20"/>
        </w:rPr>
      </w:pPr>
      <w:r w:rsidRPr="000342D4">
        <w:rPr>
          <w:rFonts w:ascii="Arial" w:hAnsi="Arial" w:cs="Arial"/>
          <w:sz w:val="20"/>
          <w:szCs w:val="20"/>
        </w:rPr>
        <w:t>In accordance with Section 9</w:t>
      </w:r>
      <w:r w:rsidR="00C87343">
        <w:rPr>
          <w:rFonts w:ascii="Arial" w:hAnsi="Arial" w:cs="Arial"/>
          <w:sz w:val="20"/>
          <w:szCs w:val="20"/>
        </w:rPr>
        <w:t>61</w:t>
      </w:r>
      <w:r w:rsidRPr="000342D4">
        <w:rPr>
          <w:rFonts w:ascii="Arial" w:hAnsi="Arial" w:cs="Arial"/>
          <w:sz w:val="20"/>
          <w:szCs w:val="20"/>
        </w:rPr>
        <w:t xml:space="preserve">of Title 49 of the Louisiana Revised Statutes, there is hereby submitted a fiscal and economic impact statement on the rule proposed for adoption, repeal or amendment.  THE FOLLOWING STATEMENTS SUMMARIZE ATTACHED WORKSHEETS, I THROUGH IV AND </w:t>
      </w:r>
      <w:r w:rsidRPr="000342D4">
        <w:rPr>
          <w:rFonts w:ascii="Arial" w:hAnsi="Arial" w:cs="Arial"/>
          <w:sz w:val="20"/>
          <w:szCs w:val="20"/>
          <w:u w:val="single"/>
        </w:rPr>
        <w:t>WILL BE PUBLISHED IN THE LOUISIANA REGISTER WITH THE PROPOSED AGENCY RULE.</w:t>
      </w:r>
    </w:p>
    <w:p w:rsidR="009A1785" w:rsidRPr="000342D4" w:rsidRDefault="009A1785">
      <w:pPr>
        <w:rPr>
          <w:rFonts w:ascii="Arial" w:hAnsi="Arial" w:cs="Arial"/>
          <w:sz w:val="20"/>
          <w:szCs w:val="20"/>
        </w:rPr>
      </w:pPr>
    </w:p>
    <w:p w:rsidR="00F652EE" w:rsidRPr="000342D4" w:rsidRDefault="00F652EE">
      <w:pPr>
        <w:rPr>
          <w:rFonts w:ascii="Arial" w:hAnsi="Arial" w:cs="Arial"/>
          <w:sz w:val="20"/>
          <w:szCs w:val="20"/>
        </w:rPr>
      </w:pPr>
    </w:p>
    <w:p w:rsidR="009A1785" w:rsidRPr="000342D4" w:rsidRDefault="009A1785" w:rsidP="009C2423">
      <w:pPr>
        <w:tabs>
          <w:tab w:val="left" w:pos="-1440"/>
        </w:tabs>
        <w:ind w:left="360" w:hanging="360"/>
        <w:rPr>
          <w:rFonts w:ascii="Arial" w:hAnsi="Arial" w:cs="Arial"/>
          <w:sz w:val="20"/>
          <w:szCs w:val="20"/>
        </w:rPr>
      </w:pPr>
      <w:r w:rsidRPr="000342D4">
        <w:rPr>
          <w:rFonts w:ascii="Arial" w:hAnsi="Arial" w:cs="Arial"/>
          <w:sz w:val="20"/>
          <w:szCs w:val="20"/>
        </w:rPr>
        <w:t>I.</w:t>
      </w:r>
      <w:r w:rsidRPr="000342D4">
        <w:rPr>
          <w:rFonts w:ascii="Arial" w:hAnsi="Arial" w:cs="Arial"/>
          <w:sz w:val="20"/>
          <w:szCs w:val="20"/>
        </w:rPr>
        <w:tab/>
        <w:t>ESTIMATED IMPLEMENTATION COSTS (SAVINGS) TO STATE OR LOCAL GOVERNMENTAL UNITS (Summary)</w:t>
      </w:r>
    </w:p>
    <w:p w:rsidR="009C2423" w:rsidRDefault="009C2423" w:rsidP="009C2423">
      <w:pPr>
        <w:tabs>
          <w:tab w:val="left" w:pos="360"/>
        </w:tabs>
        <w:rPr>
          <w:rFonts w:ascii="Arial" w:hAnsi="Arial" w:cs="Arial"/>
          <w:sz w:val="20"/>
          <w:szCs w:val="20"/>
        </w:rPr>
      </w:pPr>
    </w:p>
    <w:p w:rsidR="006D7206" w:rsidRPr="00427BA7" w:rsidRDefault="00F238CC" w:rsidP="006D7206">
      <w:pPr>
        <w:ind w:left="360"/>
        <w:rPr>
          <w:rFonts w:ascii="Arial" w:hAnsi="Arial" w:cs="Arial"/>
          <w:sz w:val="20"/>
          <w:szCs w:val="20"/>
        </w:rPr>
      </w:pPr>
      <w:r w:rsidRPr="00C52CCF">
        <w:rPr>
          <w:rFonts w:ascii="Arial" w:hAnsi="Arial"/>
          <w:sz w:val="20"/>
          <w:szCs w:val="20"/>
        </w:rPr>
        <w:t xml:space="preserve">There </w:t>
      </w:r>
      <w:r>
        <w:rPr>
          <w:rFonts w:ascii="Arial" w:hAnsi="Arial"/>
          <w:sz w:val="20"/>
          <w:szCs w:val="20"/>
        </w:rPr>
        <w:t>are no estimated implementation</w:t>
      </w:r>
      <w:r w:rsidRPr="00C52CCF">
        <w:rPr>
          <w:rFonts w:ascii="Arial" w:hAnsi="Arial"/>
          <w:sz w:val="20"/>
          <w:szCs w:val="20"/>
        </w:rPr>
        <w:t xml:space="preserve"> costs or savings to state or local governm</w:t>
      </w:r>
      <w:r>
        <w:rPr>
          <w:rFonts w:ascii="Arial" w:hAnsi="Arial"/>
          <w:sz w:val="20"/>
          <w:szCs w:val="20"/>
        </w:rPr>
        <w:t xml:space="preserve">ental units as a result of the proposed </w:t>
      </w:r>
      <w:r w:rsidRPr="00C52CCF">
        <w:rPr>
          <w:rFonts w:ascii="Arial" w:hAnsi="Arial"/>
          <w:sz w:val="20"/>
          <w:szCs w:val="20"/>
        </w:rPr>
        <w:t>rule.</w:t>
      </w:r>
      <w:r w:rsidR="006D7206">
        <w:rPr>
          <w:rFonts w:ascii="Arial" w:hAnsi="Arial"/>
          <w:sz w:val="20"/>
          <w:szCs w:val="20"/>
        </w:rPr>
        <w:t xml:space="preserve"> </w:t>
      </w:r>
      <w:r w:rsidR="00D954A3" w:rsidRPr="00D954A3">
        <w:rPr>
          <w:rFonts w:ascii="Arial" w:hAnsi="Arial"/>
          <w:sz w:val="20"/>
          <w:szCs w:val="20"/>
        </w:rPr>
        <w:t>In light of EPA’s replacement of the Clean Air Interstate Rule with the Cross-St</w:t>
      </w:r>
      <w:r w:rsidR="00D954A3">
        <w:rPr>
          <w:rFonts w:ascii="Arial" w:hAnsi="Arial"/>
          <w:sz w:val="20"/>
          <w:szCs w:val="20"/>
        </w:rPr>
        <w:t>ate Air Pollution Rule (CSAPR)</w:t>
      </w:r>
      <w:r w:rsidR="006D7206">
        <w:rPr>
          <w:rFonts w:ascii="Arial" w:hAnsi="Arial"/>
          <w:sz w:val="20"/>
          <w:szCs w:val="20"/>
        </w:rPr>
        <w:t xml:space="preserve">, the proposed rule repeals LAC 33:III.506, the Clean Air Interstate Requirement (CAIR). </w:t>
      </w:r>
      <w:r w:rsidR="006D7206" w:rsidRPr="00427BA7">
        <w:rPr>
          <w:rFonts w:ascii="Arial" w:hAnsi="Arial" w:cs="Arial"/>
          <w:sz w:val="20"/>
          <w:szCs w:val="20"/>
        </w:rPr>
        <w:t>LAC 33:III.506, which prescribes how CAIR annual NO</w:t>
      </w:r>
      <w:r w:rsidR="006D7206" w:rsidRPr="00427BA7">
        <w:rPr>
          <w:rFonts w:ascii="Arial" w:hAnsi="Arial" w:cs="Arial"/>
          <w:sz w:val="20"/>
          <w:szCs w:val="20"/>
          <w:vertAlign w:val="subscript"/>
        </w:rPr>
        <w:t>X</w:t>
      </w:r>
      <w:r w:rsidR="006D7206" w:rsidRPr="00427BA7">
        <w:rPr>
          <w:rFonts w:ascii="Arial" w:hAnsi="Arial" w:cs="Arial"/>
          <w:sz w:val="20"/>
          <w:szCs w:val="20"/>
        </w:rPr>
        <w:t xml:space="preserve"> and ozone season NO</w:t>
      </w:r>
      <w:r w:rsidR="006D7206" w:rsidRPr="00427BA7">
        <w:rPr>
          <w:rFonts w:ascii="Arial" w:hAnsi="Arial" w:cs="Arial"/>
          <w:sz w:val="20"/>
          <w:szCs w:val="20"/>
          <w:vertAlign w:val="subscript"/>
        </w:rPr>
        <w:t>X</w:t>
      </w:r>
      <w:r w:rsidR="006D7206" w:rsidRPr="00427BA7">
        <w:rPr>
          <w:rFonts w:ascii="Arial" w:hAnsi="Arial" w:cs="Arial"/>
          <w:sz w:val="20"/>
          <w:szCs w:val="20"/>
        </w:rPr>
        <w:t xml:space="preserve"> allowances are to be allocated and incorporates the federal SO</w:t>
      </w:r>
      <w:r w:rsidR="006D7206" w:rsidRPr="00427BA7">
        <w:rPr>
          <w:rFonts w:ascii="Arial" w:hAnsi="Arial" w:cs="Arial"/>
          <w:sz w:val="20"/>
          <w:szCs w:val="20"/>
          <w:vertAlign w:val="subscript"/>
        </w:rPr>
        <w:t>2</w:t>
      </w:r>
      <w:r w:rsidR="006D7206" w:rsidRPr="00427BA7">
        <w:rPr>
          <w:rFonts w:ascii="Arial" w:hAnsi="Arial" w:cs="Arial"/>
          <w:sz w:val="20"/>
          <w:szCs w:val="20"/>
        </w:rPr>
        <w:t xml:space="preserve"> model rule under 40 CFR 96 by reference, is no longer current or necessary.</w:t>
      </w:r>
    </w:p>
    <w:p w:rsidR="00612B19" w:rsidRPr="000342D4" w:rsidRDefault="00612B19">
      <w:pPr>
        <w:rPr>
          <w:rFonts w:ascii="Arial" w:hAnsi="Arial" w:cs="Arial"/>
          <w:sz w:val="20"/>
          <w:szCs w:val="20"/>
        </w:rPr>
      </w:pPr>
    </w:p>
    <w:p w:rsidR="006D7206" w:rsidRPr="000342D4" w:rsidRDefault="009A1785" w:rsidP="009C2423">
      <w:pPr>
        <w:tabs>
          <w:tab w:val="left" w:pos="-1440"/>
          <w:tab w:val="left" w:pos="360"/>
        </w:tabs>
        <w:ind w:left="360" w:hanging="360"/>
        <w:rPr>
          <w:rFonts w:ascii="Arial" w:hAnsi="Arial" w:cs="Arial"/>
          <w:sz w:val="20"/>
          <w:szCs w:val="20"/>
        </w:rPr>
      </w:pPr>
      <w:r w:rsidRPr="000342D4">
        <w:rPr>
          <w:rFonts w:ascii="Arial" w:hAnsi="Arial" w:cs="Arial"/>
          <w:sz w:val="20"/>
          <w:szCs w:val="20"/>
        </w:rPr>
        <w:t>II.</w:t>
      </w:r>
      <w:r w:rsidRPr="000342D4">
        <w:rPr>
          <w:rFonts w:ascii="Arial" w:hAnsi="Arial" w:cs="Arial"/>
          <w:sz w:val="20"/>
          <w:szCs w:val="20"/>
        </w:rPr>
        <w:tab/>
        <w:t>ESTIMATED EFFECT ON REVENUE COLLECTIONS OF STATE OR LOCAL GOVERNMENTAL UNITS (Summary)</w:t>
      </w:r>
    </w:p>
    <w:p w:rsidR="009A1785" w:rsidRPr="000342D4" w:rsidRDefault="009A1785" w:rsidP="00381B3E">
      <w:pPr>
        <w:tabs>
          <w:tab w:val="left" w:pos="-1440"/>
          <w:tab w:val="left" w:pos="360"/>
        </w:tabs>
        <w:ind w:left="360" w:hanging="360"/>
        <w:rPr>
          <w:rFonts w:ascii="Arial" w:hAnsi="Arial" w:cs="Arial"/>
          <w:sz w:val="20"/>
          <w:szCs w:val="20"/>
        </w:rPr>
      </w:pPr>
    </w:p>
    <w:p w:rsidR="00F238CC" w:rsidRPr="00F238CC" w:rsidRDefault="0073192D" w:rsidP="0073192D">
      <w:pPr>
        <w:autoSpaceDE w:val="0"/>
        <w:autoSpaceDN w:val="0"/>
        <w:adjustRightInd w:val="0"/>
        <w:ind w:left="360"/>
        <w:rPr>
          <w:rFonts w:ascii="Arial" w:hAnsi="Arial" w:cs="Arial"/>
          <w:sz w:val="20"/>
          <w:szCs w:val="20"/>
        </w:rPr>
      </w:pPr>
      <w:r>
        <w:rPr>
          <w:rFonts w:ascii="Arial" w:hAnsi="Arial" w:cs="Arial"/>
          <w:sz w:val="20"/>
          <w:szCs w:val="20"/>
        </w:rPr>
        <w:t>The</w:t>
      </w:r>
      <w:r w:rsidR="006C5171">
        <w:rPr>
          <w:rFonts w:ascii="Arial" w:hAnsi="Arial" w:cs="Arial"/>
          <w:sz w:val="20"/>
          <w:szCs w:val="20"/>
        </w:rPr>
        <w:t>re</w:t>
      </w:r>
      <w:r>
        <w:rPr>
          <w:rFonts w:ascii="Arial" w:hAnsi="Arial" w:cs="Arial"/>
          <w:sz w:val="20"/>
          <w:szCs w:val="20"/>
        </w:rPr>
        <w:t xml:space="preserve"> is no estimated </w:t>
      </w:r>
      <w:r w:rsidR="00F238CC" w:rsidRPr="00F238CC">
        <w:rPr>
          <w:rFonts w:ascii="Arial" w:hAnsi="Arial" w:cs="Arial"/>
          <w:sz w:val="20"/>
          <w:szCs w:val="20"/>
        </w:rPr>
        <w:t xml:space="preserve">increase or decrease in revenues </w:t>
      </w:r>
      <w:r w:rsidR="00525046">
        <w:rPr>
          <w:rFonts w:ascii="Arial" w:hAnsi="Arial" w:cs="Arial"/>
          <w:sz w:val="20"/>
          <w:szCs w:val="20"/>
        </w:rPr>
        <w:t xml:space="preserve">to state or local governmental units </w:t>
      </w:r>
      <w:r>
        <w:rPr>
          <w:rFonts w:ascii="Arial" w:hAnsi="Arial"/>
          <w:sz w:val="20"/>
          <w:szCs w:val="20"/>
        </w:rPr>
        <w:t xml:space="preserve">as a result of the proposed </w:t>
      </w:r>
      <w:r w:rsidRPr="00C52CCF">
        <w:rPr>
          <w:rFonts w:ascii="Arial" w:hAnsi="Arial"/>
          <w:sz w:val="20"/>
          <w:szCs w:val="20"/>
        </w:rPr>
        <w:t>rule</w:t>
      </w:r>
      <w:r>
        <w:rPr>
          <w:rFonts w:ascii="Arial" w:hAnsi="Arial"/>
          <w:sz w:val="20"/>
          <w:szCs w:val="20"/>
        </w:rPr>
        <w:t>.</w:t>
      </w:r>
    </w:p>
    <w:p w:rsidR="00F652EE" w:rsidRPr="000342D4" w:rsidRDefault="00F652EE" w:rsidP="00D768D6">
      <w:pPr>
        <w:rPr>
          <w:rFonts w:ascii="Arial" w:hAnsi="Arial" w:cs="Arial"/>
          <w:sz w:val="20"/>
          <w:szCs w:val="20"/>
        </w:rPr>
      </w:pPr>
    </w:p>
    <w:p w:rsidR="009A1785" w:rsidRPr="000342D4" w:rsidRDefault="009A1785" w:rsidP="009C2423">
      <w:pPr>
        <w:tabs>
          <w:tab w:val="left" w:pos="-1440"/>
        </w:tabs>
        <w:ind w:left="360" w:hanging="360"/>
        <w:rPr>
          <w:rFonts w:ascii="Arial" w:hAnsi="Arial" w:cs="Arial"/>
          <w:sz w:val="20"/>
          <w:szCs w:val="20"/>
        </w:rPr>
      </w:pPr>
      <w:r w:rsidRPr="000342D4">
        <w:rPr>
          <w:rFonts w:ascii="Arial" w:hAnsi="Arial" w:cs="Arial"/>
          <w:sz w:val="20"/>
          <w:szCs w:val="20"/>
        </w:rPr>
        <w:t>III.</w:t>
      </w:r>
      <w:r w:rsidRPr="000342D4">
        <w:rPr>
          <w:rFonts w:ascii="Arial" w:hAnsi="Arial" w:cs="Arial"/>
          <w:sz w:val="20"/>
          <w:szCs w:val="20"/>
        </w:rPr>
        <w:tab/>
        <w:t>ESTIMATED COSTS AND/OR ECONOMIC BENEFITS TO DIRECTLY AFFECTED PERSONS</w:t>
      </w:r>
      <w:r w:rsidR="00BC6B84">
        <w:rPr>
          <w:rFonts w:ascii="Arial" w:hAnsi="Arial" w:cs="Arial"/>
          <w:sz w:val="20"/>
          <w:szCs w:val="20"/>
        </w:rPr>
        <w:t>, SMALL BUSINESSES,</w:t>
      </w:r>
      <w:r w:rsidRPr="000342D4">
        <w:rPr>
          <w:rFonts w:ascii="Arial" w:hAnsi="Arial" w:cs="Arial"/>
          <w:sz w:val="20"/>
          <w:szCs w:val="20"/>
        </w:rPr>
        <w:t xml:space="preserve"> OR NON-GOVERNMENTAL GROUPS (Summary)</w:t>
      </w:r>
    </w:p>
    <w:p w:rsidR="009A1785" w:rsidRPr="000342D4" w:rsidRDefault="009A1785">
      <w:pPr>
        <w:rPr>
          <w:rFonts w:ascii="Arial" w:hAnsi="Arial" w:cs="Arial"/>
          <w:sz w:val="20"/>
          <w:szCs w:val="20"/>
        </w:rPr>
      </w:pPr>
    </w:p>
    <w:p w:rsidR="00365984" w:rsidRDefault="00365984" w:rsidP="00365984">
      <w:pPr>
        <w:tabs>
          <w:tab w:val="left" w:pos="-1440"/>
          <w:tab w:val="num" w:pos="360"/>
        </w:tabs>
        <w:ind w:left="360"/>
        <w:rPr>
          <w:rFonts w:ascii="Arial" w:hAnsi="Arial" w:cs="Arial"/>
          <w:sz w:val="20"/>
          <w:szCs w:val="20"/>
        </w:rPr>
      </w:pPr>
      <w:r w:rsidRPr="00437203">
        <w:rPr>
          <w:rFonts w:ascii="Arial" w:hAnsi="Arial"/>
          <w:sz w:val="20"/>
          <w:szCs w:val="20"/>
        </w:rPr>
        <w:t xml:space="preserve">There </w:t>
      </w:r>
      <w:r w:rsidR="00F24A06">
        <w:rPr>
          <w:rFonts w:ascii="Arial" w:hAnsi="Arial"/>
          <w:sz w:val="20"/>
          <w:szCs w:val="20"/>
        </w:rPr>
        <w:t>are</w:t>
      </w:r>
      <w:r w:rsidRPr="00437203">
        <w:rPr>
          <w:rFonts w:ascii="Arial" w:hAnsi="Arial"/>
          <w:sz w:val="20"/>
          <w:szCs w:val="20"/>
        </w:rPr>
        <w:t xml:space="preserve"> no costs </w:t>
      </w:r>
      <w:r>
        <w:rPr>
          <w:rFonts w:ascii="Arial" w:hAnsi="Arial"/>
          <w:sz w:val="20"/>
          <w:szCs w:val="20"/>
        </w:rPr>
        <w:t xml:space="preserve">or economic benefits </w:t>
      </w:r>
      <w:r w:rsidRPr="00437203">
        <w:rPr>
          <w:rFonts w:ascii="Arial" w:hAnsi="Arial"/>
          <w:sz w:val="20"/>
          <w:szCs w:val="20"/>
        </w:rPr>
        <w:t>to directly affected persons or non-governmental groups as a result of the proposed rule.</w:t>
      </w:r>
    </w:p>
    <w:p w:rsidR="00F652EE" w:rsidRPr="000342D4" w:rsidRDefault="00F652EE" w:rsidP="00FC689C">
      <w:pPr>
        <w:tabs>
          <w:tab w:val="left" w:pos="-1440"/>
          <w:tab w:val="num" w:pos="360"/>
        </w:tabs>
        <w:ind w:left="360"/>
        <w:rPr>
          <w:rFonts w:ascii="Arial" w:hAnsi="Arial" w:cs="Arial"/>
          <w:sz w:val="20"/>
          <w:szCs w:val="20"/>
        </w:rPr>
      </w:pPr>
    </w:p>
    <w:p w:rsidR="009A1785" w:rsidRPr="000342D4" w:rsidRDefault="009A1785" w:rsidP="009C2423">
      <w:pPr>
        <w:tabs>
          <w:tab w:val="left" w:pos="-1440"/>
          <w:tab w:val="left" w:pos="360"/>
        </w:tabs>
        <w:rPr>
          <w:rFonts w:ascii="Arial" w:hAnsi="Arial" w:cs="Arial"/>
          <w:sz w:val="20"/>
          <w:szCs w:val="20"/>
        </w:rPr>
      </w:pPr>
      <w:r w:rsidRPr="000342D4">
        <w:rPr>
          <w:rFonts w:ascii="Arial" w:hAnsi="Arial" w:cs="Arial"/>
          <w:sz w:val="20"/>
          <w:szCs w:val="20"/>
        </w:rPr>
        <w:t>IV.</w:t>
      </w:r>
      <w:r w:rsidRPr="000342D4">
        <w:rPr>
          <w:rFonts w:ascii="Arial" w:hAnsi="Arial" w:cs="Arial"/>
          <w:sz w:val="20"/>
          <w:szCs w:val="20"/>
        </w:rPr>
        <w:tab/>
        <w:t>ESTIMATED EFFECT ON COMPETITION AND EMPLOYMENT (Summary)</w:t>
      </w:r>
    </w:p>
    <w:p w:rsidR="009A1785" w:rsidRPr="000342D4" w:rsidRDefault="009A1785">
      <w:pPr>
        <w:rPr>
          <w:rFonts w:ascii="Arial" w:hAnsi="Arial" w:cs="Arial"/>
          <w:sz w:val="20"/>
          <w:szCs w:val="20"/>
        </w:rPr>
      </w:pPr>
    </w:p>
    <w:p w:rsidR="00D938CA" w:rsidRPr="00C866DA" w:rsidRDefault="00D938CA" w:rsidP="00D938CA">
      <w:pPr>
        <w:ind w:left="360"/>
        <w:rPr>
          <w:rFonts w:ascii="Arial" w:hAnsi="Arial" w:cs="Arial"/>
          <w:sz w:val="20"/>
          <w:szCs w:val="20"/>
        </w:rPr>
      </w:pPr>
      <w:r w:rsidRPr="00C866DA">
        <w:rPr>
          <w:rFonts w:ascii="Arial" w:hAnsi="Arial" w:cs="Arial"/>
          <w:sz w:val="20"/>
          <w:szCs w:val="20"/>
        </w:rPr>
        <w:t xml:space="preserve">There </w:t>
      </w:r>
      <w:r>
        <w:rPr>
          <w:rFonts w:ascii="Arial" w:hAnsi="Arial" w:cs="Arial"/>
          <w:sz w:val="20"/>
          <w:szCs w:val="20"/>
        </w:rPr>
        <w:t>is no estimated</w:t>
      </w:r>
      <w:r w:rsidRPr="00C866DA">
        <w:rPr>
          <w:rFonts w:ascii="Arial" w:hAnsi="Arial" w:cs="Arial"/>
          <w:sz w:val="20"/>
          <w:szCs w:val="20"/>
        </w:rPr>
        <w:t xml:space="preserve"> effect on competition</w:t>
      </w:r>
      <w:r>
        <w:rPr>
          <w:rFonts w:ascii="Arial" w:hAnsi="Arial" w:cs="Arial"/>
          <w:sz w:val="20"/>
          <w:szCs w:val="20"/>
        </w:rPr>
        <w:t xml:space="preserve"> or</w:t>
      </w:r>
      <w:r w:rsidRPr="00C866DA">
        <w:rPr>
          <w:rFonts w:ascii="Arial" w:hAnsi="Arial" w:cs="Arial"/>
          <w:sz w:val="20"/>
          <w:szCs w:val="20"/>
        </w:rPr>
        <w:t xml:space="preserve"> employment in the public or private sector </w:t>
      </w:r>
      <w:r>
        <w:rPr>
          <w:rFonts w:ascii="Arial" w:hAnsi="Arial"/>
          <w:sz w:val="20"/>
          <w:szCs w:val="20"/>
        </w:rPr>
        <w:t xml:space="preserve">as a result of the proposed </w:t>
      </w:r>
      <w:r w:rsidRPr="00C52CCF">
        <w:rPr>
          <w:rFonts w:ascii="Arial" w:hAnsi="Arial"/>
          <w:sz w:val="20"/>
          <w:szCs w:val="20"/>
        </w:rPr>
        <w:t>rule.</w:t>
      </w:r>
    </w:p>
    <w:p w:rsidR="00F652EE" w:rsidRPr="000342D4" w:rsidRDefault="00F652EE">
      <w:pPr>
        <w:rPr>
          <w:rFonts w:ascii="Arial" w:hAnsi="Arial" w:cs="Arial"/>
          <w:sz w:val="20"/>
          <w:szCs w:val="20"/>
        </w:rPr>
      </w:pPr>
    </w:p>
    <w:p w:rsidR="00F652EE" w:rsidRPr="000342D4" w:rsidRDefault="00F652EE">
      <w:pPr>
        <w:rPr>
          <w:rFonts w:ascii="Arial" w:hAnsi="Arial" w:cs="Arial"/>
          <w:sz w:val="20"/>
          <w:szCs w:val="20"/>
        </w:rPr>
      </w:pPr>
    </w:p>
    <w:p w:rsidR="009A1785" w:rsidRPr="009C2423" w:rsidRDefault="009A1785">
      <w:pPr>
        <w:rPr>
          <w:rFonts w:ascii="Arial" w:hAnsi="Arial" w:cs="Arial"/>
          <w:color w:val="FFFFFF"/>
          <w:sz w:val="20"/>
          <w:szCs w:val="20"/>
          <w:u w:val="single"/>
        </w:rPr>
      </w:pPr>
      <w:r w:rsidRPr="000342D4">
        <w:rPr>
          <w:rFonts w:ascii="Arial" w:hAnsi="Arial" w:cs="Arial"/>
          <w:sz w:val="20"/>
          <w:szCs w:val="20"/>
          <w:u w:val="single"/>
        </w:rPr>
        <w:t xml:space="preserve">                                                              </w:t>
      </w:r>
      <w:r w:rsidRPr="000342D4">
        <w:rPr>
          <w:rFonts w:ascii="Arial" w:hAnsi="Arial" w:cs="Arial"/>
          <w:sz w:val="20"/>
          <w:szCs w:val="20"/>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r w:rsidR="009C2423" w:rsidRPr="009C2423">
        <w:rPr>
          <w:rFonts w:ascii="Arial" w:hAnsi="Arial" w:cs="Arial"/>
          <w:color w:val="FFFFFF"/>
          <w:sz w:val="20"/>
          <w:szCs w:val="20"/>
        </w:rPr>
        <w:t>a</w:t>
      </w:r>
      <w:r w:rsidRPr="009C2423">
        <w:rPr>
          <w:rFonts w:ascii="Arial" w:hAnsi="Arial" w:cs="Arial"/>
          <w:color w:val="FFFFFF"/>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Signature of Agency Head or Designee</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L</w:t>
      </w:r>
      <w:r w:rsidR="006F7E85" w:rsidRPr="000342D4">
        <w:rPr>
          <w:rFonts w:ascii="Arial" w:hAnsi="Arial" w:cs="Arial"/>
          <w:sz w:val="20"/>
          <w:szCs w:val="20"/>
        </w:rPr>
        <w:t>egislative Fiscal Officer or Designee</w:t>
      </w:r>
    </w:p>
    <w:p w:rsidR="009A1785" w:rsidRPr="000342D4" w:rsidRDefault="009A1785">
      <w:pPr>
        <w:rPr>
          <w:rFonts w:ascii="Arial" w:hAnsi="Arial" w:cs="Arial"/>
          <w:sz w:val="20"/>
          <w:szCs w:val="20"/>
        </w:rPr>
      </w:pPr>
    </w:p>
    <w:p w:rsidR="009A1785" w:rsidRPr="000342D4" w:rsidRDefault="00843D52" w:rsidP="00843D52">
      <w:pPr>
        <w:tabs>
          <w:tab w:val="left" w:pos="3510"/>
        </w:tabs>
        <w:rPr>
          <w:rFonts w:ascii="Arial" w:hAnsi="Arial" w:cs="Arial"/>
          <w:sz w:val="20"/>
          <w:szCs w:val="20"/>
        </w:rPr>
      </w:pPr>
      <w:r>
        <w:rPr>
          <w:rFonts w:ascii="Arial" w:hAnsi="Arial" w:cs="Arial"/>
          <w:sz w:val="20"/>
          <w:szCs w:val="20"/>
          <w:u w:val="single"/>
        </w:rPr>
        <w:t xml:space="preserve">Courtney </w:t>
      </w:r>
      <w:r w:rsidR="00C87343">
        <w:rPr>
          <w:rFonts w:ascii="Arial" w:hAnsi="Arial" w:cs="Arial"/>
          <w:sz w:val="20"/>
          <w:szCs w:val="20"/>
          <w:u w:val="single"/>
        </w:rPr>
        <w:t xml:space="preserve">J. </w:t>
      </w:r>
      <w:r>
        <w:rPr>
          <w:rFonts w:ascii="Arial" w:hAnsi="Arial" w:cs="Arial"/>
          <w:sz w:val="20"/>
          <w:szCs w:val="20"/>
          <w:u w:val="single"/>
        </w:rPr>
        <w:t>Burdette</w:t>
      </w:r>
      <w:r w:rsidR="00450942" w:rsidRPr="000342D4">
        <w:rPr>
          <w:rFonts w:ascii="Arial" w:hAnsi="Arial" w:cs="Arial"/>
          <w:sz w:val="20"/>
          <w:szCs w:val="20"/>
          <w:u w:val="single"/>
        </w:rPr>
        <w:t xml:space="preserve">, </w:t>
      </w:r>
      <w:r w:rsidR="00C87343">
        <w:rPr>
          <w:rFonts w:ascii="Arial" w:hAnsi="Arial" w:cs="Arial"/>
          <w:sz w:val="20"/>
          <w:szCs w:val="20"/>
          <w:u w:val="single"/>
        </w:rPr>
        <w:t>Executive</w:t>
      </w:r>
      <w:r w:rsidR="00450942" w:rsidRPr="000342D4">
        <w:rPr>
          <w:rFonts w:ascii="Arial" w:hAnsi="Arial" w:cs="Arial"/>
          <w:sz w:val="20"/>
          <w:szCs w:val="20"/>
          <w:u w:val="single"/>
        </w:rPr>
        <w:t xml:space="preserve"> </w:t>
      </w:r>
      <w:r w:rsidR="006F7E85" w:rsidRPr="000342D4">
        <w:rPr>
          <w:rFonts w:ascii="Arial" w:hAnsi="Arial" w:cs="Arial"/>
          <w:sz w:val="20"/>
          <w:szCs w:val="20"/>
          <w:u w:val="single"/>
        </w:rPr>
        <w:t>Counsel</w:t>
      </w:r>
      <w:r>
        <w:rPr>
          <w:rFonts w:ascii="Arial" w:hAnsi="Arial" w:cs="Arial"/>
          <w:sz w:val="20"/>
          <w:szCs w:val="20"/>
          <w:u w:val="single"/>
        </w:rPr>
        <w:t xml:space="preserve"> </w:t>
      </w:r>
      <w:r w:rsidR="009A1785" w:rsidRPr="000342D4">
        <w:rPr>
          <w:rFonts w:ascii="Arial" w:hAnsi="Arial" w:cs="Arial"/>
          <w:sz w:val="20"/>
          <w:szCs w:val="20"/>
          <w:u w:val="single"/>
        </w:rPr>
        <w:t xml:space="preserve">   </w:t>
      </w:r>
      <w:r w:rsidRPr="009C2423">
        <w:rPr>
          <w:rFonts w:ascii="Arial" w:hAnsi="Arial" w:cs="Arial"/>
          <w:color w:val="FFFFFF"/>
          <w:sz w:val="20"/>
          <w:szCs w:val="20"/>
        </w:rPr>
        <w:t>a</w:t>
      </w:r>
      <w:r w:rsidRPr="009C2423">
        <w:rPr>
          <w:rFonts w:ascii="Arial" w:hAnsi="Arial" w:cs="Arial"/>
          <w:color w:val="FFFFFF"/>
          <w:sz w:val="20"/>
          <w:szCs w:val="20"/>
          <w:u w:val="single"/>
        </w:rPr>
        <w:t xml:space="preserve">              </w:t>
      </w:r>
      <w:r w:rsidR="009A1785" w:rsidRPr="000342D4">
        <w:rPr>
          <w:rFonts w:ascii="Arial" w:hAnsi="Arial" w:cs="Arial"/>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 xml:space="preserve">Typed Name </w:t>
      </w:r>
      <w:r w:rsidR="00BC6B84">
        <w:rPr>
          <w:rFonts w:ascii="Arial" w:hAnsi="Arial" w:cs="Arial"/>
          <w:sz w:val="20"/>
          <w:szCs w:val="20"/>
        </w:rPr>
        <w:t>&amp;</w:t>
      </w:r>
      <w:r w:rsidRPr="000342D4">
        <w:rPr>
          <w:rFonts w:ascii="Arial" w:hAnsi="Arial" w:cs="Arial"/>
          <w:sz w:val="20"/>
          <w:szCs w:val="20"/>
        </w:rPr>
        <w:t>Title of Agency Head or Designee</w:t>
      </w:r>
    </w:p>
    <w:p w:rsidR="009A1785" w:rsidRPr="000342D4" w:rsidRDefault="009A1785">
      <w:pPr>
        <w:rPr>
          <w:rFonts w:ascii="Arial" w:hAnsi="Arial" w:cs="Arial"/>
          <w:sz w:val="20"/>
          <w:szCs w:val="20"/>
        </w:rPr>
      </w:pPr>
    </w:p>
    <w:p w:rsidR="009A1785" w:rsidRPr="009C2423" w:rsidRDefault="009A1785" w:rsidP="009C2423">
      <w:pPr>
        <w:tabs>
          <w:tab w:val="left" w:pos="3420"/>
        </w:tabs>
        <w:rPr>
          <w:rFonts w:ascii="Arial" w:hAnsi="Arial" w:cs="Arial"/>
          <w:color w:val="FFFFFF"/>
          <w:sz w:val="20"/>
          <w:szCs w:val="20"/>
        </w:rPr>
      </w:pPr>
      <w:r w:rsidRPr="000342D4">
        <w:rPr>
          <w:rFonts w:ascii="Arial" w:hAnsi="Arial" w:cs="Arial"/>
          <w:sz w:val="20"/>
          <w:szCs w:val="20"/>
          <w:u w:val="single"/>
        </w:rPr>
        <w:t xml:space="preserve">                                        </w:t>
      </w:r>
      <w:r w:rsidR="009C2423">
        <w:rPr>
          <w:rFonts w:ascii="Arial" w:hAnsi="Arial" w:cs="Arial"/>
          <w:sz w:val="20"/>
          <w:szCs w:val="20"/>
          <w:u w:val="single"/>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r w:rsidR="009C2423" w:rsidRPr="009C2423">
        <w:rPr>
          <w:rFonts w:ascii="Arial" w:hAnsi="Arial" w:cs="Arial"/>
          <w:color w:val="FFFFFF"/>
          <w:sz w:val="20"/>
          <w:szCs w:val="20"/>
        </w:rPr>
        <w:t>a</w:t>
      </w:r>
      <w:r w:rsidRPr="009C2423">
        <w:rPr>
          <w:rFonts w:ascii="Arial" w:hAnsi="Arial" w:cs="Arial"/>
          <w:color w:val="FFFFFF"/>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 xml:space="preserve">Date of Signature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Date of Signature</w:t>
      </w:r>
    </w:p>
    <w:p w:rsidR="00F652EE" w:rsidRPr="000342D4" w:rsidRDefault="00F652EE" w:rsidP="00F652EE">
      <w:pPr>
        <w:spacing w:line="120" w:lineRule="exact"/>
        <w:jc w:val="center"/>
        <w:rPr>
          <w:rFonts w:ascii="Arial" w:hAnsi="Arial" w:cs="Arial"/>
          <w:sz w:val="20"/>
          <w:szCs w:val="20"/>
        </w:rPr>
      </w:pPr>
    </w:p>
    <w:p w:rsidR="009A1785" w:rsidRDefault="009A1785" w:rsidP="006F7E85">
      <w:pPr>
        <w:jc w:val="center"/>
        <w:rPr>
          <w:rFonts w:ascii="Arial" w:hAnsi="Arial"/>
        </w:rPr>
        <w:sectPr w:rsidR="009A1785" w:rsidSect="001430C4">
          <w:pgSz w:w="12240" w:h="15840" w:code="1"/>
          <w:pgMar w:top="1440" w:right="1440" w:bottom="1440" w:left="1440" w:header="360" w:footer="720" w:gutter="0"/>
          <w:paperSrc w:first="11" w:other="11"/>
          <w:cols w:space="720"/>
          <w:noEndnote/>
          <w:docGrid w:linePitch="326"/>
        </w:sectPr>
      </w:pPr>
    </w:p>
    <w:p w:rsidR="009A1785" w:rsidRPr="00BC6B6F" w:rsidRDefault="009A1785" w:rsidP="001B53BE">
      <w:pPr>
        <w:tabs>
          <w:tab w:val="center" w:pos="5276"/>
        </w:tabs>
        <w:ind w:left="360"/>
        <w:jc w:val="center"/>
        <w:rPr>
          <w:rFonts w:ascii="Arial" w:hAnsi="Arial"/>
          <w:sz w:val="20"/>
          <w:szCs w:val="20"/>
        </w:rPr>
      </w:pPr>
      <w:r w:rsidRPr="00BC6B6F">
        <w:rPr>
          <w:rFonts w:ascii="Arial" w:hAnsi="Arial"/>
          <w:sz w:val="20"/>
          <w:szCs w:val="20"/>
        </w:rPr>
        <w:lastRenderedPageBreak/>
        <w:t>FISCAL AND ECONOMIC IMPACT STATEMENT</w:t>
      </w:r>
    </w:p>
    <w:p w:rsidR="009A1785" w:rsidRPr="00BC6B6F" w:rsidRDefault="009A1785" w:rsidP="0060212A">
      <w:pPr>
        <w:tabs>
          <w:tab w:val="center" w:pos="5276"/>
        </w:tabs>
        <w:jc w:val="center"/>
        <w:rPr>
          <w:rFonts w:ascii="Arial" w:hAnsi="Arial"/>
          <w:sz w:val="20"/>
          <w:szCs w:val="20"/>
        </w:rPr>
      </w:pPr>
      <w:r w:rsidRPr="00BC6B6F">
        <w:rPr>
          <w:rFonts w:ascii="Arial" w:hAnsi="Arial"/>
          <w:sz w:val="20"/>
          <w:szCs w:val="20"/>
        </w:rPr>
        <w:t>FOR ADMINISTRATIVE RULES</w:t>
      </w:r>
    </w:p>
    <w:p w:rsidR="009A1785" w:rsidRPr="00BC6B6F" w:rsidRDefault="009A1785" w:rsidP="00427BA7">
      <w:pPr>
        <w:rPr>
          <w:rFonts w:ascii="Arial" w:hAnsi="Arial"/>
          <w:b/>
          <w:sz w:val="20"/>
          <w:szCs w:val="20"/>
        </w:rPr>
      </w:pPr>
    </w:p>
    <w:p w:rsidR="009A1785" w:rsidRPr="00BC6B6F" w:rsidRDefault="009A1785" w:rsidP="00427BA7">
      <w:pPr>
        <w:rPr>
          <w:rFonts w:ascii="Arial" w:hAnsi="Arial"/>
          <w:sz w:val="20"/>
          <w:szCs w:val="20"/>
        </w:rPr>
      </w:pPr>
      <w:r w:rsidRPr="00BC6B6F">
        <w:rPr>
          <w:rFonts w:ascii="Arial" w:hAnsi="Arial"/>
          <w:sz w:val="20"/>
          <w:szCs w:val="20"/>
        </w:rPr>
        <w:t xml:space="preserve">The following information is </w:t>
      </w:r>
      <w:r w:rsidR="00BC6B84">
        <w:rPr>
          <w:rFonts w:ascii="Arial" w:hAnsi="Arial"/>
          <w:sz w:val="20"/>
          <w:szCs w:val="20"/>
        </w:rPr>
        <w:t>required</w:t>
      </w:r>
      <w:r w:rsidRPr="00BC6B6F">
        <w:rPr>
          <w:rFonts w:ascii="Arial" w:hAnsi="Arial"/>
          <w:sz w:val="20"/>
          <w:szCs w:val="20"/>
        </w:rPr>
        <w:t xml:space="preserve"> in order to assist the Legislative Fiscal Office in its review of the fiscal and economic impact statement and to assist the appropriate legislative oversight subcommittee in its deliberation on the proposed rule.</w:t>
      </w:r>
    </w:p>
    <w:p w:rsidR="009A1785" w:rsidRPr="00BC6B6F" w:rsidRDefault="009A1785" w:rsidP="00427BA7">
      <w:pPr>
        <w:rPr>
          <w:rFonts w:ascii="Arial" w:hAnsi="Arial"/>
          <w:sz w:val="20"/>
          <w:szCs w:val="20"/>
        </w:rPr>
      </w:pPr>
    </w:p>
    <w:p w:rsidR="009A1785" w:rsidRPr="00BC6B6F" w:rsidRDefault="009A1785" w:rsidP="00427BA7">
      <w:pPr>
        <w:tabs>
          <w:tab w:val="left" w:pos="-1440"/>
        </w:tabs>
        <w:ind w:left="360" w:hanging="360"/>
        <w:rPr>
          <w:rFonts w:ascii="Arial" w:hAnsi="Arial"/>
          <w:sz w:val="20"/>
          <w:szCs w:val="20"/>
        </w:rPr>
      </w:pPr>
      <w:r w:rsidRPr="00BC6B6F">
        <w:rPr>
          <w:rFonts w:ascii="Arial" w:hAnsi="Arial"/>
          <w:sz w:val="20"/>
          <w:szCs w:val="20"/>
        </w:rPr>
        <w:t>A.</w:t>
      </w:r>
      <w:r w:rsidRPr="00BC6B6F">
        <w:rPr>
          <w:rFonts w:ascii="Arial" w:hAnsi="Arial"/>
          <w:sz w:val="20"/>
          <w:szCs w:val="20"/>
        </w:rPr>
        <w:tab/>
        <w:t>Provide a brief summary of the content of the rule (if proposed for adoption</w:t>
      </w:r>
      <w:r w:rsidR="00D37C61" w:rsidRPr="00BC6B6F">
        <w:rPr>
          <w:rFonts w:ascii="Arial" w:hAnsi="Arial"/>
          <w:sz w:val="20"/>
          <w:szCs w:val="20"/>
        </w:rPr>
        <w:t>,</w:t>
      </w:r>
      <w:r w:rsidRPr="00BC6B6F">
        <w:rPr>
          <w:rFonts w:ascii="Arial" w:hAnsi="Arial"/>
          <w:sz w:val="20"/>
          <w:szCs w:val="20"/>
        </w:rPr>
        <w:t xml:space="preserve">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9A1785" w:rsidRPr="00427BA7" w:rsidRDefault="009A1785" w:rsidP="00427BA7">
      <w:pPr>
        <w:rPr>
          <w:rFonts w:ascii="Arial" w:hAnsi="Arial" w:cs="Arial"/>
          <w:sz w:val="20"/>
          <w:szCs w:val="20"/>
        </w:rPr>
      </w:pPr>
    </w:p>
    <w:p w:rsidR="00427BA7" w:rsidRPr="00427BA7" w:rsidRDefault="00AB68E3" w:rsidP="00427BA7">
      <w:pPr>
        <w:ind w:left="360"/>
        <w:rPr>
          <w:rFonts w:ascii="Arial" w:hAnsi="Arial" w:cs="Arial"/>
          <w:sz w:val="20"/>
          <w:szCs w:val="20"/>
        </w:rPr>
      </w:pPr>
      <w:r>
        <w:rPr>
          <w:rFonts w:ascii="Arial" w:hAnsi="Arial" w:cs="Arial"/>
          <w:sz w:val="20"/>
          <w:szCs w:val="20"/>
        </w:rPr>
        <w:t xml:space="preserve">The proposed </w:t>
      </w:r>
      <w:r w:rsidR="00427BA7" w:rsidRPr="00427BA7">
        <w:rPr>
          <w:rFonts w:ascii="Arial" w:hAnsi="Arial" w:cs="Arial"/>
          <w:color w:val="000000"/>
          <w:sz w:val="20"/>
          <w:szCs w:val="20"/>
        </w:rPr>
        <w:t xml:space="preserve">rule </w:t>
      </w:r>
      <w:r>
        <w:rPr>
          <w:rFonts w:ascii="Arial" w:hAnsi="Arial" w:cs="Arial"/>
          <w:color w:val="000000"/>
          <w:sz w:val="20"/>
          <w:szCs w:val="20"/>
        </w:rPr>
        <w:t xml:space="preserve">will </w:t>
      </w:r>
      <w:r w:rsidR="00427BA7" w:rsidRPr="00427BA7">
        <w:rPr>
          <w:rFonts w:ascii="Arial" w:hAnsi="Arial" w:cs="Arial"/>
          <w:color w:val="000000"/>
          <w:sz w:val="20"/>
          <w:szCs w:val="20"/>
        </w:rPr>
        <w:t>repeal LAC 33:III.506 (Clean Air Interstate Rule Requirements).</w:t>
      </w:r>
    </w:p>
    <w:p w:rsidR="008D126D" w:rsidRPr="00427BA7" w:rsidRDefault="008D126D" w:rsidP="00427BA7">
      <w:pPr>
        <w:rPr>
          <w:rFonts w:ascii="Arial" w:hAnsi="Arial" w:cs="Arial"/>
          <w:color w:val="000000"/>
          <w:sz w:val="20"/>
          <w:szCs w:val="20"/>
        </w:rPr>
      </w:pPr>
    </w:p>
    <w:p w:rsidR="009A1785" w:rsidRPr="00BC6B6F" w:rsidRDefault="009A1785" w:rsidP="00427BA7">
      <w:pPr>
        <w:numPr>
          <w:ilvl w:val="0"/>
          <w:numId w:val="4"/>
        </w:numPr>
        <w:tabs>
          <w:tab w:val="clear" w:pos="720"/>
          <w:tab w:val="left" w:pos="-1440"/>
          <w:tab w:val="num" w:pos="360"/>
        </w:tabs>
        <w:ind w:left="360"/>
        <w:rPr>
          <w:rFonts w:ascii="Arial" w:hAnsi="Arial"/>
          <w:sz w:val="20"/>
          <w:szCs w:val="20"/>
        </w:rPr>
      </w:pPr>
      <w:r w:rsidRPr="00BC6B6F">
        <w:rPr>
          <w:rFonts w:ascii="Arial" w:hAnsi="Arial" w:cs="Arial"/>
          <w:sz w:val="20"/>
          <w:szCs w:val="20"/>
        </w:rPr>
        <w:t>Summarize the circumstances</w:t>
      </w:r>
      <w:r w:rsidRPr="00BC6B6F">
        <w:rPr>
          <w:rFonts w:ascii="Arial" w:hAnsi="Arial"/>
          <w:sz w:val="20"/>
          <w:szCs w:val="20"/>
        </w:rPr>
        <w:t xml:space="preserve"> which require this action.  If the Action is required by federal regulation, attach a copy of the applicable regulation.</w:t>
      </w:r>
    </w:p>
    <w:p w:rsidR="001B79A8" w:rsidRPr="00427BA7" w:rsidRDefault="001B79A8" w:rsidP="00427BA7">
      <w:pPr>
        <w:tabs>
          <w:tab w:val="left" w:pos="-1440"/>
          <w:tab w:val="left" w:pos="-720"/>
          <w:tab w:val="left" w:pos="288"/>
          <w:tab w:val="left" w:pos="1066"/>
          <w:tab w:val="left" w:pos="2246"/>
          <w:tab w:val="left" w:pos="4680"/>
          <w:tab w:val="left" w:pos="5990"/>
          <w:tab w:val="left" w:pos="6336"/>
        </w:tabs>
        <w:suppressAutoHyphens/>
        <w:rPr>
          <w:rFonts w:ascii="Arial" w:hAnsi="Arial" w:cs="Arial"/>
          <w:sz w:val="20"/>
          <w:szCs w:val="20"/>
        </w:rPr>
      </w:pPr>
    </w:p>
    <w:p w:rsidR="00427BA7" w:rsidRPr="00427BA7" w:rsidRDefault="00427BA7" w:rsidP="00427BA7">
      <w:pPr>
        <w:tabs>
          <w:tab w:val="left" w:pos="-1440"/>
          <w:tab w:val="left" w:pos="-720"/>
          <w:tab w:val="left" w:pos="288"/>
          <w:tab w:val="left" w:pos="1066"/>
          <w:tab w:val="left" w:pos="2246"/>
          <w:tab w:val="left" w:pos="4680"/>
          <w:tab w:val="left" w:pos="5990"/>
          <w:tab w:val="left" w:pos="6336"/>
        </w:tabs>
        <w:suppressAutoHyphens/>
        <w:ind w:left="360"/>
        <w:rPr>
          <w:rFonts w:ascii="Arial" w:hAnsi="Arial" w:cs="Arial"/>
          <w:sz w:val="20"/>
          <w:szCs w:val="20"/>
        </w:rPr>
      </w:pPr>
      <w:r w:rsidRPr="00427BA7">
        <w:rPr>
          <w:rFonts w:ascii="Arial" w:hAnsi="Arial" w:cs="Arial"/>
          <w:sz w:val="20"/>
          <w:szCs w:val="20"/>
        </w:rPr>
        <w:t>On August 8, 2011, the United States Environmental Protection Agency (EPA) issued the Cross-State Air Pollution Rule (CSAPR) to address Clean Air Act requirements concerning interstate transport of air pollution and to replace the previous Clean Air Interstate Rule (CAIR), which the D.C. Circuit remanded to EPA for replacement.*</w:t>
      </w:r>
    </w:p>
    <w:p w:rsidR="00427BA7" w:rsidRPr="00427BA7" w:rsidRDefault="00427BA7" w:rsidP="00427BA7">
      <w:pPr>
        <w:tabs>
          <w:tab w:val="left" w:pos="-1440"/>
          <w:tab w:val="left" w:pos="-720"/>
          <w:tab w:val="left" w:pos="288"/>
          <w:tab w:val="left" w:pos="1066"/>
          <w:tab w:val="left" w:pos="2246"/>
          <w:tab w:val="left" w:pos="4680"/>
          <w:tab w:val="left" w:pos="5990"/>
          <w:tab w:val="left" w:pos="6336"/>
        </w:tabs>
        <w:suppressAutoHyphens/>
        <w:ind w:left="360"/>
        <w:rPr>
          <w:rFonts w:ascii="Arial" w:hAnsi="Arial" w:cs="Arial"/>
          <w:sz w:val="20"/>
          <w:szCs w:val="20"/>
        </w:rPr>
      </w:pPr>
    </w:p>
    <w:p w:rsidR="00427BA7" w:rsidRPr="00427BA7" w:rsidRDefault="00427BA7" w:rsidP="00427BA7">
      <w:pPr>
        <w:tabs>
          <w:tab w:val="left" w:pos="-1440"/>
          <w:tab w:val="left" w:pos="-720"/>
          <w:tab w:val="left" w:pos="288"/>
          <w:tab w:val="left" w:pos="1066"/>
          <w:tab w:val="left" w:pos="2246"/>
          <w:tab w:val="left" w:pos="4680"/>
          <w:tab w:val="left" w:pos="5990"/>
          <w:tab w:val="left" w:pos="6336"/>
        </w:tabs>
        <w:suppressAutoHyphens/>
        <w:ind w:left="360"/>
        <w:rPr>
          <w:rFonts w:ascii="Arial" w:hAnsi="Arial" w:cs="Arial"/>
          <w:sz w:val="20"/>
          <w:szCs w:val="20"/>
        </w:rPr>
      </w:pPr>
      <w:r w:rsidRPr="00427BA7">
        <w:rPr>
          <w:rFonts w:ascii="Arial" w:hAnsi="Arial" w:cs="Arial"/>
          <w:sz w:val="20"/>
          <w:szCs w:val="20"/>
        </w:rPr>
        <w:t>Per EPA’s “Rulemaking to Amend Dates in Federal Implementation Plans Addressing Interstate Transport of Ozone and Fine Particulate Matter” promulgated on December 3, 2014 (79 FR 71663), when CSAPR was implemented in 2015, CAIR sunset in compliance with the terms of the 2008 remand, effective December 31, 2014.  See 40 CFR 51.123(ff</w:t>
      </w:r>
      <w:proofErr w:type="gramStart"/>
      <w:r w:rsidRPr="00427BA7">
        <w:rPr>
          <w:rFonts w:ascii="Arial" w:hAnsi="Arial" w:cs="Arial"/>
          <w:sz w:val="20"/>
          <w:szCs w:val="20"/>
        </w:rPr>
        <w:t>)(</w:t>
      </w:r>
      <w:proofErr w:type="gramEnd"/>
      <w:r w:rsidRPr="00427BA7">
        <w:rPr>
          <w:rFonts w:ascii="Arial" w:hAnsi="Arial" w:cs="Arial"/>
          <w:sz w:val="20"/>
          <w:szCs w:val="20"/>
        </w:rPr>
        <w:t>1) and 51.124(s)(1).</w:t>
      </w:r>
    </w:p>
    <w:p w:rsidR="00427BA7" w:rsidRPr="00427BA7" w:rsidRDefault="00427BA7" w:rsidP="00427BA7">
      <w:pPr>
        <w:ind w:left="360"/>
        <w:rPr>
          <w:rFonts w:ascii="Arial" w:hAnsi="Arial" w:cs="Arial"/>
          <w:sz w:val="20"/>
          <w:szCs w:val="20"/>
        </w:rPr>
      </w:pPr>
    </w:p>
    <w:p w:rsidR="00427BA7" w:rsidRPr="00427BA7" w:rsidRDefault="00427BA7" w:rsidP="00427BA7">
      <w:pPr>
        <w:ind w:left="360"/>
        <w:rPr>
          <w:rFonts w:ascii="Arial" w:hAnsi="Arial" w:cs="Arial"/>
          <w:sz w:val="20"/>
          <w:szCs w:val="20"/>
        </w:rPr>
      </w:pPr>
      <w:r w:rsidRPr="00427BA7">
        <w:rPr>
          <w:rFonts w:ascii="Arial" w:hAnsi="Arial" w:cs="Arial"/>
          <w:sz w:val="20"/>
          <w:szCs w:val="20"/>
        </w:rPr>
        <w:t>Accordingly, LAC 33:III.506, which prescribes how CAIR annual NO</w:t>
      </w:r>
      <w:r w:rsidRPr="00427BA7">
        <w:rPr>
          <w:rFonts w:ascii="Arial" w:hAnsi="Arial" w:cs="Arial"/>
          <w:sz w:val="20"/>
          <w:szCs w:val="20"/>
          <w:vertAlign w:val="subscript"/>
        </w:rPr>
        <w:t>X</w:t>
      </w:r>
      <w:r w:rsidRPr="00427BA7">
        <w:rPr>
          <w:rFonts w:ascii="Arial" w:hAnsi="Arial" w:cs="Arial"/>
          <w:sz w:val="20"/>
          <w:szCs w:val="20"/>
        </w:rPr>
        <w:t xml:space="preserve"> and ozone season NO</w:t>
      </w:r>
      <w:r w:rsidRPr="00427BA7">
        <w:rPr>
          <w:rFonts w:ascii="Arial" w:hAnsi="Arial" w:cs="Arial"/>
          <w:sz w:val="20"/>
          <w:szCs w:val="20"/>
          <w:vertAlign w:val="subscript"/>
        </w:rPr>
        <w:t>X</w:t>
      </w:r>
      <w:r w:rsidRPr="00427BA7">
        <w:rPr>
          <w:rFonts w:ascii="Arial" w:hAnsi="Arial" w:cs="Arial"/>
          <w:sz w:val="20"/>
          <w:szCs w:val="20"/>
        </w:rPr>
        <w:t xml:space="preserve"> allowances are to be allocated and incorporates the federal SO</w:t>
      </w:r>
      <w:r w:rsidRPr="00427BA7">
        <w:rPr>
          <w:rFonts w:ascii="Arial" w:hAnsi="Arial" w:cs="Arial"/>
          <w:sz w:val="20"/>
          <w:szCs w:val="20"/>
          <w:vertAlign w:val="subscript"/>
        </w:rPr>
        <w:t>2</w:t>
      </w:r>
      <w:r w:rsidRPr="00427BA7">
        <w:rPr>
          <w:rFonts w:ascii="Arial" w:hAnsi="Arial" w:cs="Arial"/>
          <w:sz w:val="20"/>
          <w:szCs w:val="20"/>
        </w:rPr>
        <w:t xml:space="preserve"> model rule under 40 CFR 96 by reference, is no longer current or necessary.</w:t>
      </w:r>
    </w:p>
    <w:p w:rsidR="00427BA7" w:rsidRPr="00427BA7" w:rsidRDefault="00427BA7" w:rsidP="00427BA7">
      <w:pPr>
        <w:ind w:left="360"/>
        <w:rPr>
          <w:rFonts w:ascii="Arial" w:hAnsi="Arial" w:cs="Arial"/>
          <w:sz w:val="20"/>
          <w:szCs w:val="20"/>
        </w:rPr>
      </w:pPr>
    </w:p>
    <w:p w:rsidR="00427BA7" w:rsidRPr="00427BA7" w:rsidRDefault="00427BA7" w:rsidP="00DF125F">
      <w:pPr>
        <w:tabs>
          <w:tab w:val="left" w:pos="540"/>
        </w:tabs>
        <w:ind w:left="540" w:hanging="180"/>
        <w:rPr>
          <w:rFonts w:ascii="Arial" w:hAnsi="Arial" w:cs="Arial"/>
          <w:sz w:val="20"/>
          <w:szCs w:val="20"/>
        </w:rPr>
      </w:pPr>
      <w:r w:rsidRPr="00427BA7">
        <w:rPr>
          <w:rFonts w:ascii="Arial" w:hAnsi="Arial" w:cs="Arial"/>
          <w:sz w:val="20"/>
          <w:szCs w:val="20"/>
        </w:rPr>
        <w:t>*</w:t>
      </w:r>
      <w:r w:rsidRPr="00427BA7">
        <w:rPr>
          <w:rFonts w:ascii="Arial" w:hAnsi="Arial" w:cs="Arial"/>
          <w:i/>
          <w:sz w:val="20"/>
          <w:szCs w:val="20"/>
        </w:rPr>
        <w:t xml:space="preserve"> </w:t>
      </w:r>
      <w:r w:rsidRPr="00427BA7">
        <w:rPr>
          <w:rFonts w:ascii="Arial" w:hAnsi="Arial" w:cs="Arial"/>
          <w:i/>
          <w:sz w:val="20"/>
          <w:szCs w:val="20"/>
        </w:rPr>
        <w:tab/>
        <w:t>North Carolina v. EPA</w:t>
      </w:r>
      <w:r w:rsidRPr="00427BA7">
        <w:rPr>
          <w:rFonts w:ascii="Arial" w:hAnsi="Arial" w:cs="Arial"/>
          <w:sz w:val="20"/>
          <w:szCs w:val="20"/>
        </w:rPr>
        <w:t xml:space="preserve">, 531 F.3d 896 (D.C. Cir.), </w:t>
      </w:r>
      <w:r w:rsidRPr="00427BA7">
        <w:rPr>
          <w:rFonts w:ascii="Arial" w:hAnsi="Arial" w:cs="Arial"/>
          <w:i/>
          <w:sz w:val="20"/>
          <w:szCs w:val="20"/>
        </w:rPr>
        <w:t>modified</w:t>
      </w:r>
      <w:r w:rsidRPr="00427BA7">
        <w:rPr>
          <w:rFonts w:ascii="Arial" w:hAnsi="Arial" w:cs="Arial"/>
          <w:sz w:val="20"/>
          <w:szCs w:val="20"/>
        </w:rPr>
        <w:t>, 550 F.3d 1176 (D.C. Cir. 2008)</w:t>
      </w:r>
    </w:p>
    <w:p w:rsidR="00427BA7" w:rsidRPr="00427BA7" w:rsidRDefault="00427BA7" w:rsidP="00427BA7">
      <w:pPr>
        <w:rPr>
          <w:rFonts w:ascii="Arial" w:hAnsi="Arial" w:cs="Arial"/>
          <w:sz w:val="20"/>
          <w:szCs w:val="20"/>
        </w:rPr>
      </w:pPr>
    </w:p>
    <w:p w:rsidR="009A1785" w:rsidRPr="00BC6B6F" w:rsidRDefault="009A1785" w:rsidP="00BC6B6F">
      <w:pPr>
        <w:tabs>
          <w:tab w:val="left" w:pos="-1440"/>
        </w:tabs>
        <w:ind w:left="360" w:hanging="360"/>
        <w:rPr>
          <w:rFonts w:ascii="Arial" w:hAnsi="Arial"/>
          <w:sz w:val="20"/>
          <w:szCs w:val="20"/>
        </w:rPr>
      </w:pPr>
      <w:r w:rsidRPr="00BC6B6F">
        <w:rPr>
          <w:rFonts w:ascii="Arial" w:hAnsi="Arial"/>
          <w:sz w:val="20"/>
          <w:szCs w:val="20"/>
        </w:rPr>
        <w:t>C.</w:t>
      </w:r>
      <w:r w:rsidRPr="00BC6B6F">
        <w:rPr>
          <w:rFonts w:ascii="Arial" w:hAnsi="Arial"/>
          <w:sz w:val="20"/>
          <w:szCs w:val="20"/>
        </w:rPr>
        <w:tab/>
        <w:t xml:space="preserve">Compliance with Act </w:t>
      </w:r>
      <w:r w:rsidR="00D37C61" w:rsidRPr="00BC6B6F">
        <w:rPr>
          <w:rFonts w:ascii="Arial" w:hAnsi="Arial"/>
          <w:sz w:val="20"/>
          <w:szCs w:val="20"/>
        </w:rPr>
        <w:t>11</w:t>
      </w:r>
      <w:r w:rsidRPr="00BC6B6F">
        <w:rPr>
          <w:rFonts w:ascii="Arial" w:hAnsi="Arial"/>
          <w:sz w:val="20"/>
          <w:szCs w:val="20"/>
        </w:rPr>
        <w:t xml:space="preserve"> of the 1986 First Extraordinary Session</w:t>
      </w:r>
    </w:p>
    <w:p w:rsidR="001B79A8" w:rsidRDefault="001B79A8" w:rsidP="00BC6B6F">
      <w:pPr>
        <w:ind w:left="720" w:hanging="360"/>
        <w:rPr>
          <w:rFonts w:ascii="Arial" w:hAnsi="Arial"/>
          <w:sz w:val="20"/>
          <w:szCs w:val="20"/>
        </w:rPr>
      </w:pPr>
    </w:p>
    <w:p w:rsidR="009A1785" w:rsidRPr="00BC6B6F" w:rsidRDefault="009A1785" w:rsidP="00BC6B6F">
      <w:pPr>
        <w:ind w:left="720" w:hanging="360"/>
        <w:rPr>
          <w:rFonts w:ascii="Arial" w:hAnsi="Arial"/>
          <w:sz w:val="20"/>
          <w:szCs w:val="20"/>
        </w:rPr>
      </w:pPr>
      <w:r w:rsidRPr="00BC6B6F">
        <w:rPr>
          <w:rFonts w:ascii="Arial" w:hAnsi="Arial"/>
          <w:sz w:val="20"/>
          <w:szCs w:val="20"/>
        </w:rPr>
        <w:t>(1)</w:t>
      </w:r>
      <w:r w:rsidRPr="00BC6B6F">
        <w:rPr>
          <w:rFonts w:ascii="Arial" w:hAnsi="Arial"/>
          <w:sz w:val="20"/>
          <w:szCs w:val="20"/>
        </w:rPr>
        <w:tab/>
        <w:t>Will the proposed rule change result in any increase in the expenditure of funds?  If so, specify amount and source of funding.</w:t>
      </w:r>
    </w:p>
    <w:p w:rsidR="009A1785" w:rsidRPr="00BC6B6F" w:rsidRDefault="009A1785" w:rsidP="00BC6B6F">
      <w:pPr>
        <w:rPr>
          <w:rFonts w:ascii="Arial" w:hAnsi="Arial"/>
          <w:sz w:val="20"/>
          <w:szCs w:val="20"/>
        </w:rPr>
      </w:pPr>
    </w:p>
    <w:p w:rsidR="009A1785" w:rsidRPr="00BC6B6F" w:rsidRDefault="00845F26" w:rsidP="0060212A">
      <w:pPr>
        <w:ind w:left="720"/>
        <w:rPr>
          <w:rFonts w:ascii="Arial" w:hAnsi="Arial"/>
          <w:sz w:val="20"/>
          <w:szCs w:val="20"/>
        </w:rPr>
      </w:pPr>
      <w:r>
        <w:rPr>
          <w:rFonts w:ascii="Arial" w:hAnsi="Arial"/>
          <w:sz w:val="20"/>
          <w:szCs w:val="20"/>
        </w:rPr>
        <w:t>No, the</w:t>
      </w:r>
      <w:r w:rsidR="009A1785" w:rsidRPr="00BC6B6F">
        <w:rPr>
          <w:rFonts w:ascii="Arial" w:hAnsi="Arial"/>
          <w:sz w:val="20"/>
          <w:szCs w:val="20"/>
        </w:rPr>
        <w:t xml:space="preserve"> proposed rule will not result in any increase in the expenditure of funds.</w:t>
      </w:r>
    </w:p>
    <w:p w:rsidR="009A1785" w:rsidRPr="00BC6B6F" w:rsidRDefault="009A1785" w:rsidP="00BC6B6F">
      <w:pPr>
        <w:rPr>
          <w:rFonts w:ascii="Arial" w:hAnsi="Arial"/>
          <w:sz w:val="20"/>
          <w:szCs w:val="20"/>
        </w:rPr>
      </w:pPr>
    </w:p>
    <w:p w:rsidR="009A1785" w:rsidRPr="00BC6B6F" w:rsidRDefault="001B4587" w:rsidP="0060212A">
      <w:pPr>
        <w:ind w:left="720" w:hanging="360"/>
        <w:rPr>
          <w:rFonts w:ascii="Arial" w:hAnsi="Arial"/>
          <w:sz w:val="20"/>
          <w:szCs w:val="20"/>
        </w:rPr>
      </w:pPr>
      <w:r w:rsidRPr="00BC6B6F">
        <w:rPr>
          <w:rFonts w:ascii="Arial" w:hAnsi="Arial"/>
          <w:sz w:val="20"/>
          <w:szCs w:val="20"/>
        </w:rPr>
        <w:t>(</w:t>
      </w:r>
      <w:r w:rsidR="009A1785" w:rsidRPr="00BC6B6F">
        <w:rPr>
          <w:rFonts w:ascii="Arial" w:hAnsi="Arial"/>
          <w:sz w:val="20"/>
          <w:szCs w:val="20"/>
        </w:rPr>
        <w:t>2)</w:t>
      </w:r>
      <w:r w:rsidR="009A1785" w:rsidRPr="00BC6B6F">
        <w:rPr>
          <w:rFonts w:ascii="Arial" w:hAnsi="Arial"/>
          <w:sz w:val="20"/>
          <w:szCs w:val="20"/>
        </w:rPr>
        <w:tab/>
        <w:t>If the answer to (1) above is yes, has the Legislature specifically appropriated the funds necessary for the associated expenditure increase?</w:t>
      </w:r>
    </w:p>
    <w:p w:rsidR="009A1785" w:rsidRPr="00BC6B6F" w:rsidRDefault="009A1785" w:rsidP="00BC6B6F">
      <w:pPr>
        <w:rPr>
          <w:rFonts w:ascii="Arial" w:hAnsi="Arial"/>
          <w:sz w:val="20"/>
          <w:szCs w:val="20"/>
        </w:rPr>
      </w:pPr>
      <w:r w:rsidRPr="00BC6B6F">
        <w:rPr>
          <w:rFonts w:ascii="Arial" w:hAnsi="Arial"/>
          <w:sz w:val="20"/>
          <w:szCs w:val="20"/>
        </w:rPr>
        <w:tab/>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(a)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w:t>
      </w:r>
      <w:r w:rsidRPr="00BC6B6F">
        <w:rPr>
          <w:rFonts w:ascii="Arial" w:hAnsi="Arial"/>
          <w:sz w:val="20"/>
          <w:szCs w:val="20"/>
        </w:rPr>
        <w:t>Yes.  If yes, attach documentation.</w:t>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(b)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No.</w:t>
      </w:r>
      <w:r w:rsidRPr="00BC6B6F">
        <w:rPr>
          <w:rFonts w:ascii="Arial" w:hAnsi="Arial"/>
          <w:sz w:val="20"/>
          <w:szCs w:val="20"/>
        </w:rPr>
        <w:t xml:space="preserve">  If no, provide justification as to why this rule change should be published at this time.</w:t>
      </w:r>
    </w:p>
    <w:p w:rsidR="009A1785" w:rsidRPr="00BC6B6F" w:rsidRDefault="009A1785" w:rsidP="0060212A">
      <w:pPr>
        <w:ind w:left="1080" w:hanging="360"/>
        <w:rPr>
          <w:rFonts w:ascii="Arial" w:hAnsi="Arial"/>
          <w:sz w:val="20"/>
          <w:szCs w:val="20"/>
        </w:rPr>
      </w:pPr>
    </w:p>
    <w:p w:rsidR="0058138D" w:rsidRDefault="0058138D" w:rsidP="00EF6AB3">
      <w:pPr>
        <w:ind w:left="720"/>
        <w:rPr>
          <w:rFonts w:ascii="Arial" w:hAnsi="Arial"/>
        </w:rPr>
        <w:sectPr w:rsidR="0058138D" w:rsidSect="00BC6B6F">
          <w:pgSz w:w="12240" w:h="20160"/>
          <w:pgMar w:top="1440" w:right="1440" w:bottom="1440" w:left="1440" w:header="360" w:footer="720" w:gutter="0"/>
          <w:paperSrc w:first="11" w:other="11"/>
          <w:cols w:space="720"/>
          <w:noEndnote/>
        </w:sectPr>
      </w:pPr>
      <w:r w:rsidRPr="00BC6B6F">
        <w:rPr>
          <w:rFonts w:ascii="Arial" w:hAnsi="Arial"/>
          <w:sz w:val="20"/>
          <w:szCs w:val="20"/>
        </w:rPr>
        <w:t>This question is not applicable.</w:t>
      </w: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lastRenderedPageBreak/>
        <w:t>FISCAL AND ECONOMIC IMPACT STATEMENT</w:t>
      </w:r>
    </w:p>
    <w:p w:rsidR="00607D47" w:rsidRPr="0060212A" w:rsidRDefault="00607D47">
      <w:pPr>
        <w:tabs>
          <w:tab w:val="center" w:pos="5276"/>
        </w:tabs>
        <w:rPr>
          <w:rFonts w:ascii="Arial" w:hAnsi="Arial" w:cs="Arial"/>
          <w:sz w:val="20"/>
          <w:szCs w:val="20"/>
        </w:rPr>
      </w:pP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t>WORKSHEET</w:t>
      </w:r>
    </w:p>
    <w:p w:rsidR="009A1785" w:rsidRPr="0060212A" w:rsidRDefault="009A1785">
      <w:pPr>
        <w:tabs>
          <w:tab w:val="left" w:pos="-1440"/>
        </w:tabs>
        <w:rPr>
          <w:rFonts w:ascii="Arial" w:hAnsi="Arial" w:cs="Arial"/>
          <w:sz w:val="20"/>
          <w:szCs w:val="20"/>
        </w:rPr>
      </w:pPr>
    </w:p>
    <w:p w:rsidR="009A1785" w:rsidRPr="0060212A" w:rsidRDefault="009A1785">
      <w:pPr>
        <w:tabs>
          <w:tab w:val="left" w:pos="-1440"/>
        </w:tabs>
        <w:rPr>
          <w:rFonts w:ascii="Arial" w:hAnsi="Arial" w:cs="Arial"/>
          <w:sz w:val="20"/>
          <w:szCs w:val="20"/>
        </w:rPr>
      </w:pPr>
    </w:p>
    <w:p w:rsidR="009A1785" w:rsidRPr="0060212A" w:rsidRDefault="009A1785" w:rsidP="0060212A">
      <w:pPr>
        <w:tabs>
          <w:tab w:val="left" w:pos="-1440"/>
          <w:tab w:val="left" w:pos="360"/>
        </w:tabs>
        <w:ind w:left="720" w:hanging="720"/>
        <w:rPr>
          <w:rFonts w:ascii="Arial" w:hAnsi="Arial" w:cs="Arial"/>
          <w:sz w:val="20"/>
          <w:szCs w:val="20"/>
        </w:rPr>
      </w:pPr>
      <w:r w:rsidRPr="0060212A">
        <w:rPr>
          <w:rFonts w:ascii="Arial" w:hAnsi="Arial" w:cs="Arial"/>
          <w:sz w:val="20"/>
          <w:szCs w:val="20"/>
        </w:rPr>
        <w:t>I.</w:t>
      </w:r>
      <w:r w:rsidRPr="0060212A">
        <w:rPr>
          <w:rFonts w:ascii="Arial" w:hAnsi="Arial" w:cs="Arial"/>
          <w:sz w:val="20"/>
          <w:szCs w:val="20"/>
        </w:rPr>
        <w:tab/>
        <w:t>A.</w:t>
      </w:r>
      <w:r w:rsidRPr="0060212A">
        <w:rPr>
          <w:rFonts w:ascii="Arial" w:hAnsi="Arial" w:cs="Arial"/>
          <w:sz w:val="20"/>
          <w:szCs w:val="20"/>
        </w:rPr>
        <w:tab/>
      </w:r>
      <w:r w:rsidRPr="0060212A">
        <w:rPr>
          <w:rFonts w:ascii="Arial" w:hAnsi="Arial" w:cs="Arial"/>
          <w:sz w:val="20"/>
          <w:szCs w:val="20"/>
          <w:u w:val="single"/>
        </w:rPr>
        <w:t>COSTS OR SAVINGS TO STATE AGENCIES RESULTING FROM THE ACTION PROPOSED</w:t>
      </w:r>
    </w:p>
    <w:p w:rsidR="009A1785" w:rsidRPr="0060212A" w:rsidRDefault="009A1785">
      <w:pPr>
        <w:rPr>
          <w:rFonts w:ascii="Arial" w:hAnsi="Arial" w:cs="Arial"/>
          <w:sz w:val="20"/>
          <w:szCs w:val="20"/>
        </w:rPr>
      </w:pPr>
    </w:p>
    <w:p w:rsidR="009A1785" w:rsidRDefault="009A1785" w:rsidP="0060212A">
      <w:pPr>
        <w:numPr>
          <w:ilvl w:val="0"/>
          <w:numId w:val="2"/>
        </w:numPr>
        <w:tabs>
          <w:tab w:val="clear" w:pos="1080"/>
          <w:tab w:val="left" w:pos="-1440"/>
          <w:tab w:val="num" w:pos="720"/>
        </w:tabs>
        <w:ind w:left="720"/>
        <w:rPr>
          <w:rFonts w:ascii="Arial" w:hAnsi="Arial" w:cs="Arial"/>
          <w:sz w:val="20"/>
          <w:szCs w:val="20"/>
        </w:rPr>
      </w:pPr>
      <w:r w:rsidRPr="0060212A">
        <w:rPr>
          <w:rFonts w:ascii="Arial" w:hAnsi="Arial" w:cs="Arial"/>
          <w:sz w:val="20"/>
          <w:szCs w:val="20"/>
        </w:rPr>
        <w:t>What is the anticipated increase (decrease) in costs to implement the proposed action?</w:t>
      </w:r>
    </w:p>
    <w:p w:rsidR="009452B6" w:rsidRDefault="009452B6" w:rsidP="009452B6">
      <w:pPr>
        <w:rPr>
          <w:rFonts w:ascii="Arial" w:hAnsi="Arial" w:cs="Arial"/>
          <w:sz w:val="20"/>
          <w:szCs w:val="20"/>
        </w:rPr>
      </w:pPr>
    </w:p>
    <w:p w:rsidR="004E179C" w:rsidRPr="00DD48E2" w:rsidRDefault="009452B6" w:rsidP="00DD48E2">
      <w:pPr>
        <w:ind w:left="720"/>
        <w:rPr>
          <w:rFonts w:ascii="Arial" w:hAnsi="Arial" w:cs="Arial"/>
          <w:sz w:val="20"/>
          <w:szCs w:val="20"/>
        </w:rPr>
      </w:pPr>
      <w:r w:rsidRPr="0075421C">
        <w:rPr>
          <w:rFonts w:ascii="Arial" w:hAnsi="Arial" w:cs="Arial"/>
          <w:sz w:val="20"/>
          <w:szCs w:val="20"/>
        </w:rPr>
        <w:t>No costs or savings to state agencies are anticipated as a result of th</w:t>
      </w:r>
      <w:r w:rsidR="001B53BE">
        <w:rPr>
          <w:rFonts w:ascii="Arial" w:hAnsi="Arial" w:cs="Arial"/>
          <w:sz w:val="20"/>
          <w:szCs w:val="20"/>
        </w:rPr>
        <w:t>e</w:t>
      </w:r>
      <w:r w:rsidRPr="0075421C">
        <w:rPr>
          <w:rFonts w:ascii="Arial" w:hAnsi="Arial" w:cs="Arial"/>
          <w:sz w:val="20"/>
          <w:szCs w:val="20"/>
        </w:rPr>
        <w:t xml:space="preserve"> proposed rule.</w:t>
      </w:r>
    </w:p>
    <w:p w:rsidR="009452B6" w:rsidRPr="0075421C" w:rsidRDefault="009452B6" w:rsidP="009452B6">
      <w:pPr>
        <w:rPr>
          <w:rFonts w:ascii="Arial" w:hAnsi="Arial" w:cs="Arial"/>
          <w:sz w:val="20"/>
          <w:szCs w:val="20"/>
        </w:rPr>
      </w:pPr>
      <w:r w:rsidRPr="0075421C">
        <w:rPr>
          <w:rFonts w:ascii="Arial" w:hAnsi="Arial" w:cs="Arial"/>
          <w:sz w:val="20"/>
          <w:szCs w:val="20"/>
        </w:rPr>
        <w:t>__________________________________________________________________________________</w:t>
      </w:r>
    </w:p>
    <w:p w:rsidR="009452B6" w:rsidRPr="0060212A" w:rsidRDefault="009452B6" w:rsidP="009452B6">
      <w:pPr>
        <w:rPr>
          <w:rFonts w:ascii="Arial" w:hAnsi="Arial" w:cs="Arial"/>
          <w:sz w:val="20"/>
          <w:szCs w:val="20"/>
        </w:rPr>
      </w:pPr>
    </w:p>
    <w:p w:rsidR="009452B6" w:rsidRPr="0060212A" w:rsidRDefault="009452B6" w:rsidP="009452B6">
      <w:pPr>
        <w:tabs>
          <w:tab w:val="left" w:pos="-1440"/>
        </w:tabs>
        <w:ind w:left="9360" w:hanging="9360"/>
        <w:rPr>
          <w:rFonts w:ascii="Arial" w:hAnsi="Arial" w:cs="Arial"/>
          <w:sz w:val="20"/>
          <w:szCs w:val="20"/>
        </w:rPr>
      </w:pPr>
      <w:r w:rsidRPr="0060212A">
        <w:rPr>
          <w:rFonts w:ascii="Arial" w:hAnsi="Arial" w:cs="Arial"/>
          <w:sz w:val="20"/>
          <w:szCs w:val="20"/>
        </w:rPr>
        <w:t xml:space="preserve">COSTS                                       </w:t>
      </w:r>
      <w:r w:rsidR="00C87343">
        <w:rPr>
          <w:rFonts w:ascii="Arial" w:hAnsi="Arial" w:cs="Arial"/>
          <w:sz w:val="20"/>
          <w:szCs w:val="20"/>
        </w:rPr>
        <w:t xml:space="preserve">     </w:t>
      </w:r>
      <w:r w:rsidRPr="0060212A">
        <w:rPr>
          <w:rFonts w:ascii="Arial" w:hAnsi="Arial" w:cs="Arial"/>
          <w:sz w:val="20"/>
          <w:szCs w:val="20"/>
        </w:rPr>
        <w:t xml:space="preserve">FY </w:t>
      </w:r>
      <w:r w:rsidR="0091216C">
        <w:rPr>
          <w:rFonts w:ascii="Arial" w:hAnsi="Arial" w:cs="Arial"/>
          <w:sz w:val="20"/>
          <w:szCs w:val="20"/>
        </w:rPr>
        <w:t>2</w:t>
      </w:r>
      <w:r w:rsidR="001E184E">
        <w:rPr>
          <w:rFonts w:ascii="Arial" w:hAnsi="Arial" w:cs="Arial"/>
          <w:sz w:val="20"/>
          <w:szCs w:val="20"/>
        </w:rPr>
        <w:t>4</w:t>
      </w:r>
      <w:r w:rsidRPr="0060212A">
        <w:rPr>
          <w:rFonts w:ascii="Arial" w:hAnsi="Arial" w:cs="Arial"/>
          <w:sz w:val="20"/>
          <w:szCs w:val="20"/>
        </w:rPr>
        <w:t xml:space="preserve">                              </w:t>
      </w:r>
      <w:r w:rsidR="00C87343">
        <w:rPr>
          <w:rFonts w:ascii="Arial" w:hAnsi="Arial" w:cs="Arial"/>
          <w:sz w:val="20"/>
          <w:szCs w:val="20"/>
        </w:rPr>
        <w:t xml:space="preserve">    </w:t>
      </w:r>
      <w:r w:rsidRPr="0060212A">
        <w:rPr>
          <w:rFonts w:ascii="Arial" w:hAnsi="Arial" w:cs="Arial"/>
          <w:sz w:val="20"/>
          <w:szCs w:val="20"/>
        </w:rPr>
        <w:t xml:space="preserve">FY </w:t>
      </w:r>
      <w:r w:rsidR="0091216C">
        <w:rPr>
          <w:rFonts w:ascii="Arial" w:hAnsi="Arial" w:cs="Arial"/>
          <w:sz w:val="20"/>
          <w:szCs w:val="20"/>
        </w:rPr>
        <w:t>2</w:t>
      </w:r>
      <w:r w:rsidR="001E184E">
        <w:rPr>
          <w:rFonts w:ascii="Arial" w:hAnsi="Arial" w:cs="Arial"/>
          <w:sz w:val="20"/>
          <w:szCs w:val="20"/>
        </w:rPr>
        <w:t>5</w:t>
      </w:r>
      <w:r w:rsidRPr="0060212A">
        <w:rPr>
          <w:rFonts w:ascii="Arial" w:hAnsi="Arial" w:cs="Arial"/>
          <w:sz w:val="20"/>
          <w:szCs w:val="20"/>
        </w:rPr>
        <w:t xml:space="preserve">                         </w:t>
      </w:r>
      <w:r w:rsidR="00C87343">
        <w:rPr>
          <w:rFonts w:ascii="Arial" w:hAnsi="Arial" w:cs="Arial"/>
          <w:sz w:val="20"/>
          <w:szCs w:val="20"/>
        </w:rPr>
        <w:t xml:space="preserve">     </w:t>
      </w:r>
      <w:r w:rsidRPr="0060212A">
        <w:rPr>
          <w:rFonts w:ascii="Arial" w:hAnsi="Arial" w:cs="Arial"/>
          <w:sz w:val="20"/>
          <w:szCs w:val="20"/>
        </w:rPr>
        <w:t xml:space="preserve"> FY </w:t>
      </w:r>
      <w:r w:rsidR="0091216C">
        <w:rPr>
          <w:rFonts w:ascii="Arial" w:hAnsi="Arial" w:cs="Arial"/>
          <w:sz w:val="20"/>
          <w:szCs w:val="20"/>
        </w:rPr>
        <w:t>2</w:t>
      </w:r>
      <w:r w:rsidR="001E184E">
        <w:rPr>
          <w:rFonts w:ascii="Arial" w:hAnsi="Arial" w:cs="Arial"/>
          <w:sz w:val="20"/>
          <w:szCs w:val="20"/>
        </w:rPr>
        <w:t>6</w:t>
      </w:r>
    </w:p>
    <w:p w:rsidR="009452B6" w:rsidRPr="0060212A" w:rsidRDefault="009452B6" w:rsidP="009452B6">
      <w:pPr>
        <w:tabs>
          <w:tab w:val="left" w:pos="5940"/>
        </w:tabs>
        <w:rPr>
          <w:rFonts w:ascii="Arial" w:hAnsi="Arial" w:cs="Arial"/>
          <w:sz w:val="20"/>
          <w:szCs w:val="20"/>
        </w:rPr>
      </w:pPr>
      <w:r w:rsidRPr="0060212A">
        <w:rPr>
          <w:rFonts w:ascii="Arial" w:hAnsi="Arial" w:cs="Arial"/>
          <w:sz w:val="20"/>
          <w:szCs w:val="20"/>
        </w:rPr>
        <w:t>___________________________________________________________________________</w:t>
      </w:r>
      <w:r>
        <w:rPr>
          <w:rFonts w:ascii="Arial" w:hAnsi="Arial" w:cs="Arial"/>
          <w:sz w:val="20"/>
          <w:szCs w:val="20"/>
        </w:rPr>
        <w:t>____</w:t>
      </w:r>
      <w:r w:rsidRPr="0060212A">
        <w:rPr>
          <w:rFonts w:ascii="Arial" w:hAnsi="Arial" w:cs="Arial"/>
          <w:sz w:val="20"/>
          <w:szCs w:val="20"/>
        </w:rPr>
        <w:t>___</w:t>
      </w:r>
    </w:p>
    <w:p w:rsidR="009452B6" w:rsidRPr="0060212A" w:rsidRDefault="009452B6" w:rsidP="009452B6">
      <w:pPr>
        <w:tabs>
          <w:tab w:val="left" w:pos="2880"/>
        </w:tabs>
        <w:rPr>
          <w:rFonts w:ascii="Arial" w:hAnsi="Arial" w:cs="Arial"/>
          <w:sz w:val="20"/>
          <w:szCs w:val="20"/>
        </w:rPr>
      </w:pPr>
      <w:r w:rsidRPr="0060212A">
        <w:rPr>
          <w:rFonts w:ascii="Arial" w:hAnsi="Arial" w:cs="Arial"/>
          <w:sz w:val="20"/>
          <w:szCs w:val="20"/>
        </w:rPr>
        <w:t>PERSONAL SERVICES</w:t>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p>
    <w:p w:rsidR="009452B6" w:rsidRDefault="009452B6" w:rsidP="009452B6">
      <w:pPr>
        <w:tabs>
          <w:tab w:val="left" w:pos="2880"/>
          <w:tab w:val="left" w:pos="3600"/>
          <w:tab w:val="left" w:pos="5760"/>
        </w:tabs>
        <w:rPr>
          <w:rFonts w:ascii="Arial" w:hAnsi="Arial" w:cs="Arial"/>
          <w:sz w:val="20"/>
          <w:szCs w:val="20"/>
        </w:rPr>
      </w:pPr>
      <w:r w:rsidRPr="0060212A">
        <w:rPr>
          <w:rFonts w:ascii="Arial" w:hAnsi="Arial" w:cs="Arial"/>
          <w:sz w:val="20"/>
          <w:szCs w:val="20"/>
        </w:rPr>
        <w:t>OPERATING EXPENS</w:t>
      </w:r>
      <w:r>
        <w:rPr>
          <w:rFonts w:ascii="Arial" w:hAnsi="Arial" w:cs="Arial"/>
          <w:sz w:val="20"/>
          <w:szCs w:val="20"/>
        </w:rPr>
        <w:t>ES</w:t>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Default="009452B6" w:rsidP="009452B6">
      <w:pPr>
        <w:tabs>
          <w:tab w:val="left" w:pos="2880"/>
          <w:tab w:val="left" w:pos="3600"/>
          <w:tab w:val="left" w:pos="5760"/>
          <w:tab w:val="left" w:pos="7920"/>
        </w:tabs>
        <w:rPr>
          <w:rFonts w:ascii="Arial" w:hAnsi="Arial" w:cs="Arial"/>
          <w:sz w:val="20"/>
          <w:szCs w:val="20"/>
        </w:rPr>
      </w:pPr>
      <w:r>
        <w:rPr>
          <w:rFonts w:ascii="Arial" w:hAnsi="Arial" w:cs="Arial"/>
          <w:sz w:val="20"/>
          <w:szCs w:val="20"/>
        </w:rPr>
        <w:t>PROFESSIONAL SERVICES</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9452B6">
      <w:pPr>
        <w:tabs>
          <w:tab w:val="left" w:pos="-1440"/>
          <w:tab w:val="left" w:pos="2880"/>
          <w:tab w:val="left" w:pos="5760"/>
        </w:tabs>
        <w:ind w:left="3600" w:hanging="3600"/>
        <w:rPr>
          <w:rFonts w:ascii="Arial" w:hAnsi="Arial" w:cs="Arial"/>
          <w:sz w:val="20"/>
          <w:szCs w:val="20"/>
        </w:rPr>
      </w:pPr>
      <w:r w:rsidRPr="0060212A">
        <w:rPr>
          <w:rFonts w:ascii="Arial" w:hAnsi="Arial" w:cs="Arial"/>
          <w:sz w:val="20"/>
          <w:szCs w:val="20"/>
        </w:rPr>
        <w:t>OTHER CHARGES</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Pr="0060212A" w:rsidRDefault="009452B6" w:rsidP="009452B6">
      <w:pPr>
        <w:rPr>
          <w:rFonts w:ascii="Arial" w:hAnsi="Arial" w:cs="Arial"/>
          <w:sz w:val="20"/>
          <w:szCs w:val="20"/>
        </w:rPr>
      </w:pPr>
      <w:r>
        <w:rPr>
          <w:rFonts w:ascii="Arial" w:hAnsi="Arial" w:cs="Arial"/>
          <w:sz w:val="20"/>
          <w:szCs w:val="20"/>
          <w:u w:val="single"/>
        </w:rPr>
        <w:t xml:space="preserve">EQUIPMENT       </w:t>
      </w:r>
      <w:r>
        <w:rPr>
          <w:rFonts w:ascii="Arial" w:hAnsi="Arial" w:cs="Arial"/>
          <w:sz w:val="20"/>
          <w:szCs w:val="20"/>
          <w:u w:val="single"/>
        </w:rPr>
        <w:tab/>
      </w:r>
      <w:r>
        <w:rPr>
          <w:rFonts w:ascii="Arial" w:hAnsi="Arial" w:cs="Arial"/>
          <w:sz w:val="20"/>
          <w:szCs w:val="20"/>
          <w:u w:val="single"/>
        </w:rPr>
        <w:tab/>
        <w:t xml:space="preserve">      -0-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Pr="0060212A">
        <w:rPr>
          <w:rFonts w:ascii="Arial" w:hAnsi="Arial" w:cs="Arial"/>
          <w:color w:val="FFFFFF"/>
          <w:sz w:val="20"/>
          <w:szCs w:val="20"/>
          <w:u w:val="single"/>
        </w:rPr>
        <w:t>a</w:t>
      </w:r>
      <w:r w:rsidRPr="0060212A">
        <w:rPr>
          <w:rFonts w:ascii="Arial" w:hAnsi="Arial" w:cs="Arial"/>
          <w:sz w:val="20"/>
          <w:szCs w:val="20"/>
          <w:u w:val="single"/>
        </w:rPr>
        <w:t xml:space="preserve">  </w:t>
      </w:r>
    </w:p>
    <w:p w:rsidR="009452B6" w:rsidRPr="0060212A" w:rsidRDefault="009452B6" w:rsidP="009452B6">
      <w:pPr>
        <w:tabs>
          <w:tab w:val="left" w:pos="2880"/>
          <w:tab w:val="left" w:pos="3420"/>
          <w:tab w:val="left" w:pos="5580"/>
        </w:tabs>
        <w:rPr>
          <w:rFonts w:ascii="Arial" w:hAnsi="Arial" w:cs="Arial"/>
          <w:sz w:val="20"/>
          <w:szCs w:val="20"/>
        </w:rPr>
      </w:pPr>
      <w:r w:rsidRPr="0060212A">
        <w:rPr>
          <w:rFonts w:ascii="Arial" w:hAnsi="Arial" w:cs="Arial"/>
          <w:bCs/>
          <w:sz w:val="20"/>
          <w:szCs w:val="20"/>
        </w:rPr>
        <w:t>TOTAL</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Pr="0060212A" w:rsidRDefault="009452B6" w:rsidP="009452B6">
      <w:pPr>
        <w:rPr>
          <w:rFonts w:ascii="Arial" w:hAnsi="Arial" w:cs="Arial"/>
          <w:sz w:val="20"/>
          <w:szCs w:val="20"/>
        </w:rPr>
      </w:pPr>
      <w:r w:rsidRPr="0060212A">
        <w:rPr>
          <w:rFonts w:ascii="Arial" w:hAnsi="Arial" w:cs="Arial"/>
          <w:sz w:val="20"/>
          <w:szCs w:val="20"/>
        </w:rPr>
        <w:t>MAJOR REPAIR &amp; CONSTR.</w:t>
      </w:r>
    </w:p>
    <w:p w:rsidR="009452B6" w:rsidRPr="0060212A" w:rsidRDefault="009452B6" w:rsidP="009452B6">
      <w:pPr>
        <w:rPr>
          <w:rFonts w:ascii="Arial" w:hAnsi="Arial" w:cs="Arial"/>
          <w:sz w:val="20"/>
          <w:szCs w:val="20"/>
        </w:rPr>
      </w:pPr>
      <w:r w:rsidRPr="0060212A">
        <w:rPr>
          <w:rFonts w:ascii="Arial" w:hAnsi="Arial" w:cs="Arial"/>
          <w:sz w:val="20"/>
          <w:szCs w:val="20"/>
        </w:rPr>
        <w:t>POSITIONS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A1785" w:rsidRPr="0060212A" w:rsidRDefault="009A1785">
      <w:pPr>
        <w:rPr>
          <w:rFonts w:ascii="Arial" w:hAnsi="Arial" w:cs="Arial"/>
          <w:sz w:val="20"/>
          <w:szCs w:val="20"/>
          <w:u w:val="single"/>
        </w:rPr>
      </w:pPr>
    </w:p>
    <w:p w:rsidR="009A1785" w:rsidRPr="0060212A" w:rsidRDefault="000342D4" w:rsidP="000342D4">
      <w:pPr>
        <w:tabs>
          <w:tab w:val="left" w:pos="-1440"/>
        </w:tabs>
        <w:ind w:left="720" w:hanging="360"/>
        <w:rPr>
          <w:rFonts w:ascii="Arial" w:hAnsi="Arial" w:cs="Arial"/>
          <w:sz w:val="20"/>
          <w:szCs w:val="20"/>
        </w:rPr>
      </w:pPr>
      <w:r>
        <w:rPr>
          <w:rFonts w:ascii="Arial" w:hAnsi="Arial" w:cs="Arial"/>
          <w:sz w:val="20"/>
          <w:szCs w:val="20"/>
        </w:rPr>
        <w:t xml:space="preserve">2.   </w:t>
      </w:r>
      <w:r w:rsidR="001B53BE">
        <w:rPr>
          <w:rFonts w:ascii="Arial" w:hAnsi="Arial" w:cs="Arial"/>
          <w:sz w:val="20"/>
          <w:szCs w:val="20"/>
        </w:rPr>
        <w:tab/>
      </w:r>
      <w:r w:rsidR="009A1785" w:rsidRPr="0060212A">
        <w:rPr>
          <w:rFonts w:ascii="Arial" w:hAnsi="Arial" w:cs="Arial"/>
          <w:sz w:val="20"/>
          <w:szCs w:val="20"/>
        </w:rPr>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9A1785" w:rsidRDefault="009A1785">
      <w:pPr>
        <w:rPr>
          <w:rFonts w:ascii="Arial" w:hAnsi="Arial" w:cs="Arial"/>
          <w:sz w:val="20"/>
          <w:szCs w:val="20"/>
        </w:rPr>
      </w:pPr>
    </w:p>
    <w:p w:rsidR="00BD0874" w:rsidRPr="0060212A" w:rsidRDefault="006D7206" w:rsidP="00381B3E">
      <w:pPr>
        <w:ind w:left="720"/>
        <w:rPr>
          <w:rFonts w:ascii="Arial" w:hAnsi="Arial" w:cs="Arial"/>
          <w:sz w:val="20"/>
          <w:szCs w:val="20"/>
        </w:rPr>
      </w:pPr>
      <w:r w:rsidRPr="00C52CCF">
        <w:rPr>
          <w:rFonts w:ascii="Arial" w:hAnsi="Arial"/>
          <w:sz w:val="20"/>
          <w:szCs w:val="20"/>
        </w:rPr>
        <w:t xml:space="preserve">There </w:t>
      </w:r>
      <w:r>
        <w:rPr>
          <w:rFonts w:ascii="Arial" w:hAnsi="Arial"/>
          <w:sz w:val="20"/>
          <w:szCs w:val="20"/>
        </w:rPr>
        <w:t>are no estimated implementation</w:t>
      </w:r>
      <w:r w:rsidRPr="00C52CCF">
        <w:rPr>
          <w:rFonts w:ascii="Arial" w:hAnsi="Arial"/>
          <w:sz w:val="20"/>
          <w:szCs w:val="20"/>
        </w:rPr>
        <w:t xml:space="preserve"> costs or savings to state or local governm</w:t>
      </w:r>
      <w:r>
        <w:rPr>
          <w:rFonts w:ascii="Arial" w:hAnsi="Arial"/>
          <w:sz w:val="20"/>
          <w:szCs w:val="20"/>
        </w:rPr>
        <w:t xml:space="preserve">ental units </w:t>
      </w:r>
      <w:proofErr w:type="gramStart"/>
      <w:r>
        <w:rPr>
          <w:rFonts w:ascii="Arial" w:hAnsi="Arial"/>
          <w:sz w:val="20"/>
          <w:szCs w:val="20"/>
        </w:rPr>
        <w:t>as a result</w:t>
      </w:r>
      <w:proofErr w:type="gramEnd"/>
      <w:r>
        <w:rPr>
          <w:rFonts w:ascii="Arial" w:hAnsi="Arial"/>
          <w:sz w:val="20"/>
          <w:szCs w:val="20"/>
        </w:rPr>
        <w:t xml:space="preserve"> of the proposed </w:t>
      </w:r>
      <w:r w:rsidRPr="00C52CCF">
        <w:rPr>
          <w:rFonts w:ascii="Arial" w:hAnsi="Arial"/>
          <w:sz w:val="20"/>
          <w:szCs w:val="20"/>
        </w:rPr>
        <w:t>rule.</w:t>
      </w:r>
      <w:r>
        <w:rPr>
          <w:rFonts w:ascii="Arial" w:hAnsi="Arial"/>
          <w:sz w:val="20"/>
          <w:szCs w:val="20"/>
        </w:rPr>
        <w:br/>
      </w:r>
    </w:p>
    <w:p w:rsidR="009A1785" w:rsidRPr="0060212A" w:rsidRDefault="000342D4" w:rsidP="000342D4">
      <w:pPr>
        <w:tabs>
          <w:tab w:val="left" w:pos="-1440"/>
          <w:tab w:val="left" w:pos="720"/>
        </w:tabs>
        <w:ind w:firstLine="360"/>
        <w:rPr>
          <w:rFonts w:ascii="Arial" w:hAnsi="Arial" w:cs="Arial"/>
          <w:sz w:val="20"/>
          <w:szCs w:val="20"/>
        </w:rPr>
      </w:pPr>
      <w:r>
        <w:rPr>
          <w:rFonts w:ascii="Arial" w:hAnsi="Arial" w:cs="Arial"/>
          <w:sz w:val="20"/>
          <w:szCs w:val="20"/>
        </w:rPr>
        <w:t>3.</w:t>
      </w:r>
      <w:r>
        <w:rPr>
          <w:rFonts w:ascii="Arial" w:hAnsi="Arial" w:cs="Arial"/>
          <w:sz w:val="20"/>
          <w:szCs w:val="20"/>
        </w:rPr>
        <w:tab/>
      </w:r>
      <w:r w:rsidR="009A1785" w:rsidRPr="0060212A">
        <w:rPr>
          <w:rFonts w:ascii="Arial" w:hAnsi="Arial" w:cs="Arial"/>
          <w:sz w:val="20"/>
          <w:szCs w:val="20"/>
        </w:rPr>
        <w:t>Sources of funding for implementing the proposed rule or rule change.</w:t>
      </w:r>
      <w:r w:rsidR="009A1785" w:rsidRPr="0060212A">
        <w:rPr>
          <w:rFonts w:ascii="Arial" w:hAnsi="Arial" w:cs="Arial"/>
          <w:sz w:val="20"/>
          <w:szCs w:val="20"/>
        </w:rPr>
        <w:tab/>
      </w:r>
    </w:p>
    <w:p w:rsidR="009452B6" w:rsidRPr="0060212A" w:rsidRDefault="009452B6" w:rsidP="009452B6">
      <w:pPr>
        <w:rPr>
          <w:rFonts w:ascii="Arial" w:hAnsi="Arial" w:cs="Arial"/>
          <w:sz w:val="20"/>
          <w:szCs w:val="20"/>
        </w:rPr>
      </w:pPr>
      <w:r w:rsidRPr="0060212A">
        <w:rPr>
          <w:rFonts w:ascii="Arial" w:hAnsi="Arial" w:cs="Arial"/>
          <w:sz w:val="20"/>
          <w:szCs w:val="20"/>
        </w:rPr>
        <w:t>_______________________________________________________________________</w:t>
      </w:r>
      <w:r>
        <w:rPr>
          <w:rFonts w:ascii="Arial" w:hAnsi="Arial" w:cs="Arial"/>
          <w:sz w:val="20"/>
          <w:szCs w:val="20"/>
        </w:rPr>
        <w:t>________</w:t>
      </w:r>
      <w:r w:rsidRPr="0060212A">
        <w:rPr>
          <w:rFonts w:ascii="Arial" w:hAnsi="Arial" w:cs="Arial"/>
          <w:sz w:val="20"/>
          <w:szCs w:val="20"/>
        </w:rPr>
        <w:t>____</w:t>
      </w:r>
    </w:p>
    <w:p w:rsidR="009452B6" w:rsidRPr="0060212A" w:rsidRDefault="009452B6" w:rsidP="009452B6">
      <w:pPr>
        <w:rPr>
          <w:rFonts w:ascii="Arial" w:hAnsi="Arial" w:cs="Arial"/>
          <w:sz w:val="20"/>
          <w:szCs w:val="20"/>
        </w:rPr>
      </w:pPr>
    </w:p>
    <w:p w:rsidR="009452B6" w:rsidRPr="0060212A" w:rsidRDefault="009452B6" w:rsidP="009452B6">
      <w:pPr>
        <w:tabs>
          <w:tab w:val="left" w:pos="-1440"/>
        </w:tabs>
        <w:ind w:left="9360" w:hanging="9360"/>
        <w:rPr>
          <w:rFonts w:ascii="Arial" w:hAnsi="Arial" w:cs="Arial"/>
          <w:sz w:val="20"/>
          <w:szCs w:val="20"/>
        </w:rPr>
      </w:pPr>
      <w:r w:rsidRPr="0060212A">
        <w:rPr>
          <w:rFonts w:ascii="Arial" w:hAnsi="Arial" w:cs="Arial"/>
          <w:sz w:val="20"/>
          <w:szCs w:val="20"/>
        </w:rPr>
        <w:t xml:space="preserve">SOURCE                                        </w:t>
      </w:r>
      <w:r w:rsidR="00C87343">
        <w:rPr>
          <w:rFonts w:ascii="Arial" w:hAnsi="Arial" w:cs="Arial"/>
          <w:sz w:val="20"/>
          <w:szCs w:val="20"/>
        </w:rPr>
        <w:t xml:space="preserve">    </w:t>
      </w:r>
      <w:r w:rsidRPr="0060212A">
        <w:rPr>
          <w:rFonts w:ascii="Arial" w:hAnsi="Arial" w:cs="Arial"/>
          <w:sz w:val="20"/>
          <w:szCs w:val="20"/>
        </w:rPr>
        <w:t xml:space="preserve">FY </w:t>
      </w:r>
      <w:r w:rsidR="0091216C">
        <w:rPr>
          <w:rFonts w:ascii="Arial" w:hAnsi="Arial" w:cs="Arial"/>
          <w:sz w:val="20"/>
          <w:szCs w:val="20"/>
        </w:rPr>
        <w:t>2</w:t>
      </w:r>
      <w:r w:rsidR="001E184E">
        <w:rPr>
          <w:rFonts w:ascii="Arial" w:hAnsi="Arial" w:cs="Arial"/>
          <w:sz w:val="20"/>
          <w:szCs w:val="20"/>
        </w:rPr>
        <w:t>4</w:t>
      </w:r>
      <w:r w:rsidRPr="0060212A">
        <w:rPr>
          <w:rFonts w:ascii="Arial" w:hAnsi="Arial" w:cs="Arial"/>
          <w:sz w:val="20"/>
          <w:szCs w:val="20"/>
        </w:rPr>
        <w:t xml:space="preserve">                           </w:t>
      </w:r>
      <w:r w:rsidR="00C87343">
        <w:rPr>
          <w:rFonts w:ascii="Arial" w:hAnsi="Arial" w:cs="Arial"/>
          <w:sz w:val="20"/>
          <w:szCs w:val="20"/>
        </w:rPr>
        <w:t xml:space="preserve">    </w:t>
      </w:r>
      <w:r w:rsidRPr="0060212A">
        <w:rPr>
          <w:rFonts w:ascii="Arial" w:hAnsi="Arial" w:cs="Arial"/>
          <w:sz w:val="20"/>
          <w:szCs w:val="20"/>
        </w:rPr>
        <w:t xml:space="preserve">FY </w:t>
      </w:r>
      <w:r w:rsidR="0091216C">
        <w:rPr>
          <w:rFonts w:ascii="Arial" w:hAnsi="Arial" w:cs="Arial"/>
          <w:sz w:val="20"/>
          <w:szCs w:val="20"/>
        </w:rPr>
        <w:t>2</w:t>
      </w:r>
      <w:r w:rsidR="001E184E">
        <w:rPr>
          <w:rFonts w:ascii="Arial" w:hAnsi="Arial" w:cs="Arial"/>
          <w:sz w:val="20"/>
          <w:szCs w:val="20"/>
        </w:rPr>
        <w:t>5</w:t>
      </w:r>
      <w:r w:rsidRPr="0060212A">
        <w:rPr>
          <w:rFonts w:ascii="Arial" w:hAnsi="Arial" w:cs="Arial"/>
          <w:sz w:val="20"/>
          <w:szCs w:val="20"/>
        </w:rPr>
        <w:t xml:space="preserve">                            </w:t>
      </w:r>
      <w:r w:rsidR="00C87343">
        <w:rPr>
          <w:rFonts w:ascii="Arial" w:hAnsi="Arial" w:cs="Arial"/>
          <w:sz w:val="20"/>
          <w:szCs w:val="20"/>
        </w:rPr>
        <w:t xml:space="preserve">     </w:t>
      </w:r>
      <w:r w:rsidRPr="0060212A">
        <w:rPr>
          <w:rFonts w:ascii="Arial" w:hAnsi="Arial" w:cs="Arial"/>
          <w:sz w:val="20"/>
          <w:szCs w:val="20"/>
        </w:rPr>
        <w:t xml:space="preserve">FY </w:t>
      </w:r>
      <w:r w:rsidR="0091216C">
        <w:rPr>
          <w:rFonts w:ascii="Arial" w:hAnsi="Arial" w:cs="Arial"/>
          <w:sz w:val="20"/>
          <w:szCs w:val="20"/>
        </w:rPr>
        <w:t>2</w:t>
      </w:r>
      <w:r w:rsidR="001E184E">
        <w:rPr>
          <w:rFonts w:ascii="Arial" w:hAnsi="Arial" w:cs="Arial"/>
          <w:sz w:val="20"/>
          <w:szCs w:val="20"/>
        </w:rPr>
        <w:t>6</w:t>
      </w:r>
    </w:p>
    <w:p w:rsidR="009452B6" w:rsidRPr="0060212A" w:rsidRDefault="009452B6" w:rsidP="009452B6">
      <w:pPr>
        <w:rPr>
          <w:rFonts w:ascii="Arial" w:hAnsi="Arial" w:cs="Arial"/>
          <w:sz w:val="20"/>
          <w:szCs w:val="20"/>
        </w:rPr>
      </w:pPr>
      <w:r w:rsidRPr="0060212A">
        <w:rPr>
          <w:rFonts w:ascii="Arial" w:hAnsi="Arial" w:cs="Arial"/>
          <w:sz w:val="20"/>
          <w:szCs w:val="20"/>
        </w:rPr>
        <w:t>__________________________________________________________________________</w:t>
      </w:r>
      <w:r>
        <w:rPr>
          <w:rFonts w:ascii="Arial" w:hAnsi="Arial" w:cs="Arial"/>
          <w:sz w:val="20"/>
          <w:szCs w:val="20"/>
        </w:rPr>
        <w:t>_____</w:t>
      </w:r>
      <w:r w:rsidRPr="0060212A">
        <w:rPr>
          <w:rFonts w:ascii="Arial" w:hAnsi="Arial" w:cs="Arial"/>
          <w:sz w:val="20"/>
          <w:szCs w:val="20"/>
        </w:rPr>
        <w:t>____</w:t>
      </w:r>
    </w:p>
    <w:p w:rsidR="009452B6" w:rsidRPr="0060212A" w:rsidRDefault="009452B6" w:rsidP="009452B6">
      <w:pPr>
        <w:rPr>
          <w:rFonts w:ascii="Arial" w:hAnsi="Arial" w:cs="Arial"/>
          <w:sz w:val="20"/>
          <w:szCs w:val="20"/>
        </w:rPr>
      </w:pPr>
      <w:r>
        <w:rPr>
          <w:rFonts w:ascii="Arial" w:hAnsi="Arial" w:cs="Arial"/>
          <w:sz w:val="20"/>
          <w:szCs w:val="20"/>
        </w:rPr>
        <w:t>STATE GENERAL FUND</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rPr>
          <w:rFonts w:ascii="Arial" w:hAnsi="Arial" w:cs="Arial"/>
          <w:sz w:val="20"/>
          <w:szCs w:val="20"/>
        </w:rPr>
      </w:pPr>
      <w:r w:rsidRPr="0060212A">
        <w:rPr>
          <w:rFonts w:ascii="Arial" w:hAnsi="Arial" w:cs="Arial"/>
          <w:sz w:val="20"/>
          <w:szCs w:val="20"/>
        </w:rPr>
        <w:t>AGENCY SELF-GENERA</w:t>
      </w:r>
      <w:r>
        <w:rPr>
          <w:rFonts w:ascii="Arial" w:hAnsi="Arial" w:cs="Arial"/>
          <w:sz w:val="20"/>
          <w:szCs w:val="20"/>
        </w:rPr>
        <w:t>TED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tabs>
          <w:tab w:val="left" w:pos="2880"/>
        </w:tabs>
        <w:rPr>
          <w:rFonts w:ascii="Arial" w:hAnsi="Arial" w:cs="Arial"/>
          <w:sz w:val="20"/>
          <w:szCs w:val="20"/>
        </w:rPr>
      </w:pPr>
      <w:r w:rsidRPr="0060212A">
        <w:rPr>
          <w:rFonts w:ascii="Arial" w:hAnsi="Arial" w:cs="Arial"/>
          <w:sz w:val="20"/>
          <w:szCs w:val="20"/>
        </w:rPr>
        <w:t>DEDICATED</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rPr>
          <w:rFonts w:ascii="Arial" w:hAnsi="Arial" w:cs="Arial"/>
          <w:sz w:val="20"/>
          <w:szCs w:val="20"/>
        </w:rPr>
      </w:pPr>
      <w:r w:rsidRPr="0060212A">
        <w:rPr>
          <w:rFonts w:ascii="Arial" w:hAnsi="Arial" w:cs="Arial"/>
          <w:sz w:val="20"/>
          <w:szCs w:val="20"/>
        </w:rPr>
        <w:t>FEDERAL FUNDS</w:t>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9452B6">
      <w:pPr>
        <w:tabs>
          <w:tab w:val="left" w:pos="3240"/>
        </w:tabs>
        <w:rPr>
          <w:rFonts w:ascii="Arial" w:hAnsi="Arial" w:cs="Arial"/>
          <w:sz w:val="20"/>
          <w:szCs w:val="20"/>
          <w:u w:val="single"/>
        </w:rPr>
      </w:pPr>
      <w:r w:rsidRPr="0060212A">
        <w:rPr>
          <w:rFonts w:ascii="Arial" w:hAnsi="Arial" w:cs="Arial"/>
          <w:sz w:val="20"/>
          <w:szCs w:val="20"/>
          <w:u w:val="single"/>
        </w:rPr>
        <w:t xml:space="preserve">OTHER (Specify)                      </w:t>
      </w:r>
      <w:r>
        <w:rPr>
          <w:rFonts w:ascii="Arial" w:hAnsi="Arial" w:cs="Arial"/>
          <w:sz w:val="20"/>
          <w:szCs w:val="20"/>
          <w:u w:val="single"/>
        </w:rPr>
        <w:t xml:space="preserve">            </w:t>
      </w:r>
      <w:r w:rsidRPr="0060212A">
        <w:rPr>
          <w:rFonts w:ascii="Arial" w:hAnsi="Arial" w:cs="Arial"/>
          <w:sz w:val="20"/>
          <w:szCs w:val="20"/>
          <w:u w:val="single"/>
        </w:rPr>
        <w:t>-0-</w:t>
      </w:r>
      <w:r w:rsidRPr="0060212A">
        <w:rPr>
          <w:rFonts w:ascii="Arial" w:hAnsi="Arial" w:cs="Arial"/>
          <w:sz w:val="20"/>
          <w:szCs w:val="20"/>
          <w:u w:val="single"/>
        </w:rPr>
        <w:tab/>
      </w:r>
      <w:r w:rsidRPr="0060212A">
        <w:rPr>
          <w:rFonts w:ascii="Arial" w:hAnsi="Arial" w:cs="Arial"/>
          <w:sz w:val="20"/>
          <w:szCs w:val="20"/>
          <w:u w:val="single"/>
        </w:rPr>
        <w:tab/>
      </w:r>
      <w:r>
        <w:rPr>
          <w:rFonts w:ascii="Arial" w:hAnsi="Arial" w:cs="Arial"/>
          <w:sz w:val="20"/>
          <w:szCs w:val="20"/>
          <w:u w:val="single"/>
        </w:rPr>
        <w:t xml:space="preserve">             -0-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Pr="0060212A">
        <w:rPr>
          <w:rFonts w:ascii="Arial" w:hAnsi="Arial" w:cs="Arial"/>
          <w:color w:val="FFFFFF"/>
          <w:sz w:val="20"/>
          <w:szCs w:val="20"/>
          <w:u w:val="single"/>
        </w:rPr>
        <w:t>a</w:t>
      </w:r>
    </w:p>
    <w:p w:rsidR="009452B6" w:rsidRPr="0060212A" w:rsidRDefault="009452B6" w:rsidP="009452B6">
      <w:pPr>
        <w:rPr>
          <w:rFonts w:ascii="Arial" w:hAnsi="Arial" w:cs="Arial"/>
          <w:sz w:val="20"/>
          <w:szCs w:val="20"/>
        </w:rPr>
      </w:pPr>
      <w:r w:rsidRPr="0060212A">
        <w:rPr>
          <w:rFonts w:ascii="Arial" w:hAnsi="Arial" w:cs="Arial"/>
          <w:bCs/>
          <w:sz w:val="20"/>
          <w:szCs w:val="20"/>
        </w:rPr>
        <w:t>TOTAL</w:t>
      </w:r>
      <w:r w:rsidRPr="0060212A">
        <w:rPr>
          <w:rFonts w:ascii="Arial" w:hAnsi="Arial" w:cs="Arial"/>
          <w:b/>
          <w:bCs/>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7503E4">
      <w:pPr>
        <w:tabs>
          <w:tab w:val="left" w:pos="-1440"/>
        </w:tabs>
        <w:rPr>
          <w:rFonts w:ascii="Arial" w:hAnsi="Arial" w:cs="Arial"/>
          <w:sz w:val="20"/>
          <w:szCs w:val="20"/>
        </w:rPr>
      </w:pPr>
    </w:p>
    <w:p w:rsidR="007503E4" w:rsidRPr="0060212A" w:rsidRDefault="007503E4" w:rsidP="000342D4">
      <w:pPr>
        <w:tabs>
          <w:tab w:val="left" w:pos="-1440"/>
        </w:tabs>
        <w:ind w:left="720" w:hanging="360"/>
        <w:rPr>
          <w:rFonts w:ascii="Arial" w:hAnsi="Arial" w:cs="Arial"/>
          <w:sz w:val="20"/>
          <w:szCs w:val="20"/>
        </w:rPr>
      </w:pPr>
      <w:r w:rsidRPr="0060212A">
        <w:rPr>
          <w:rFonts w:ascii="Arial" w:hAnsi="Arial" w:cs="Arial"/>
          <w:sz w:val="20"/>
          <w:szCs w:val="20"/>
        </w:rPr>
        <w:t>4.</w:t>
      </w:r>
      <w:r w:rsidRPr="0060212A">
        <w:rPr>
          <w:rFonts w:ascii="Arial" w:hAnsi="Arial" w:cs="Arial"/>
          <w:sz w:val="20"/>
          <w:szCs w:val="20"/>
        </w:rPr>
        <w:tab/>
        <w:t>Does your agency currently have sufficient funds to implement the proposed action?  If not, how and when do you anticipate obtaining such funds?</w:t>
      </w:r>
    </w:p>
    <w:p w:rsidR="007503E4" w:rsidRPr="0060212A" w:rsidRDefault="007503E4" w:rsidP="000342D4">
      <w:pPr>
        <w:ind w:left="720" w:hanging="360"/>
        <w:rPr>
          <w:rFonts w:ascii="Arial" w:hAnsi="Arial" w:cs="Arial"/>
          <w:sz w:val="20"/>
          <w:szCs w:val="20"/>
        </w:rPr>
      </w:pPr>
    </w:p>
    <w:p w:rsidR="009452B6" w:rsidRPr="0075421C" w:rsidRDefault="009452B6" w:rsidP="009452B6">
      <w:pPr>
        <w:ind w:firstLine="720"/>
        <w:rPr>
          <w:rFonts w:ascii="Arial" w:hAnsi="Arial" w:cs="Arial"/>
          <w:sz w:val="20"/>
          <w:szCs w:val="20"/>
        </w:rPr>
      </w:pPr>
      <w:r w:rsidRPr="0075421C">
        <w:rPr>
          <w:rFonts w:ascii="Arial" w:hAnsi="Arial" w:cs="Arial"/>
          <w:sz w:val="20"/>
          <w:szCs w:val="20"/>
        </w:rPr>
        <w:t xml:space="preserve">No </w:t>
      </w:r>
      <w:r w:rsidR="00191A90">
        <w:rPr>
          <w:rFonts w:ascii="Arial" w:hAnsi="Arial" w:cs="Arial"/>
          <w:sz w:val="20"/>
          <w:szCs w:val="20"/>
        </w:rPr>
        <w:t xml:space="preserve">additional </w:t>
      </w:r>
      <w:r w:rsidRPr="0075421C">
        <w:rPr>
          <w:rFonts w:ascii="Arial" w:hAnsi="Arial" w:cs="Arial"/>
          <w:sz w:val="20"/>
          <w:szCs w:val="20"/>
        </w:rPr>
        <w:t>funds are required to implement the proposed action.</w:t>
      </w:r>
    </w:p>
    <w:p w:rsidR="007503E4" w:rsidRPr="000342D4" w:rsidRDefault="007503E4" w:rsidP="009452B6">
      <w:pPr>
        <w:rPr>
          <w:rFonts w:ascii="Arial" w:hAnsi="Arial" w:cs="Arial"/>
          <w:sz w:val="20"/>
          <w:szCs w:val="20"/>
        </w:rPr>
      </w:pPr>
    </w:p>
    <w:p w:rsidR="009A1785" w:rsidRPr="000342D4" w:rsidRDefault="009A1785" w:rsidP="000342D4">
      <w:pPr>
        <w:tabs>
          <w:tab w:val="left" w:pos="-1440"/>
          <w:tab w:val="left" w:pos="720"/>
        </w:tabs>
        <w:ind w:left="720" w:hanging="360"/>
        <w:rPr>
          <w:rFonts w:ascii="Arial" w:hAnsi="Arial"/>
          <w:sz w:val="20"/>
          <w:szCs w:val="20"/>
        </w:rPr>
      </w:pPr>
      <w:r w:rsidRPr="000342D4">
        <w:rPr>
          <w:rFonts w:ascii="Arial" w:hAnsi="Arial"/>
          <w:sz w:val="20"/>
          <w:szCs w:val="20"/>
        </w:rPr>
        <w:t>B.</w:t>
      </w:r>
      <w:r w:rsidRPr="000342D4">
        <w:rPr>
          <w:rFonts w:ascii="Arial" w:hAnsi="Arial"/>
          <w:sz w:val="20"/>
          <w:szCs w:val="20"/>
        </w:rPr>
        <w:tab/>
      </w:r>
      <w:r w:rsidRPr="000342D4">
        <w:rPr>
          <w:rFonts w:ascii="Arial" w:hAnsi="Arial"/>
          <w:sz w:val="20"/>
          <w:szCs w:val="20"/>
          <w:u w:val="single"/>
        </w:rPr>
        <w:t>COST OR SAVINGS TO LOCAL GOVERNMENTAL UNITS RESULTING FROM THE ACTION PROPOSED.</w:t>
      </w:r>
    </w:p>
    <w:p w:rsidR="009A1785" w:rsidRPr="000342D4" w:rsidRDefault="009A1785">
      <w:pPr>
        <w:rPr>
          <w:rFonts w:ascii="Arial" w:hAnsi="Arial"/>
          <w:sz w:val="20"/>
          <w:szCs w:val="20"/>
        </w:rPr>
      </w:pPr>
    </w:p>
    <w:p w:rsidR="009A1785" w:rsidRPr="000342D4" w:rsidRDefault="009A1785" w:rsidP="000342D4">
      <w:pPr>
        <w:numPr>
          <w:ilvl w:val="0"/>
          <w:numId w:val="1"/>
        </w:numPr>
        <w:tabs>
          <w:tab w:val="left" w:pos="-1440"/>
        </w:tabs>
        <w:rPr>
          <w:rFonts w:ascii="Arial" w:hAnsi="Arial"/>
          <w:sz w:val="20"/>
          <w:szCs w:val="20"/>
        </w:rPr>
      </w:pPr>
      <w:r w:rsidRPr="000342D4">
        <w:rPr>
          <w:rFonts w:ascii="Arial" w:hAnsi="Arial"/>
          <w:sz w:val="20"/>
          <w:szCs w:val="20"/>
        </w:rPr>
        <w:t>Provide an estimate of the anticipated impact of the proposed action on local governmental units, including adjustments in workload and paperwork requirements.  Describe all data, assumptions and methods used in calculating this impact.</w:t>
      </w:r>
    </w:p>
    <w:p w:rsidR="009A1785" w:rsidRPr="000342D4" w:rsidRDefault="009A1785" w:rsidP="000342D4">
      <w:pPr>
        <w:tabs>
          <w:tab w:val="left" w:pos="-1440"/>
          <w:tab w:val="num" w:pos="1080"/>
        </w:tabs>
        <w:ind w:left="1080" w:hanging="360"/>
        <w:rPr>
          <w:rFonts w:ascii="Arial" w:hAnsi="Arial"/>
          <w:sz w:val="20"/>
          <w:szCs w:val="20"/>
        </w:rPr>
      </w:pPr>
    </w:p>
    <w:p w:rsidR="009A1785" w:rsidRPr="000342D4" w:rsidRDefault="009A1785" w:rsidP="000342D4">
      <w:pPr>
        <w:pStyle w:val="BodyTextIndent3"/>
        <w:tabs>
          <w:tab w:val="clear" w:pos="2160"/>
          <w:tab w:val="num" w:pos="1080"/>
        </w:tabs>
        <w:ind w:left="1080" w:hanging="360"/>
        <w:rPr>
          <w:sz w:val="20"/>
          <w:szCs w:val="20"/>
        </w:rPr>
      </w:pPr>
      <w:r w:rsidRPr="000342D4">
        <w:rPr>
          <w:sz w:val="20"/>
          <w:szCs w:val="20"/>
        </w:rPr>
        <w:tab/>
        <w:t>No impact on local governmental units is anticipated.</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left" w:pos="-1440"/>
          <w:tab w:val="num" w:pos="1080"/>
        </w:tabs>
        <w:ind w:left="1080" w:hanging="360"/>
        <w:rPr>
          <w:rFonts w:ascii="Arial" w:hAnsi="Arial"/>
          <w:sz w:val="20"/>
          <w:szCs w:val="20"/>
        </w:rPr>
      </w:pPr>
      <w:r w:rsidRPr="000342D4">
        <w:rPr>
          <w:rFonts w:ascii="Arial" w:hAnsi="Arial"/>
          <w:sz w:val="20"/>
          <w:szCs w:val="20"/>
        </w:rPr>
        <w:t xml:space="preserve">2.   </w:t>
      </w:r>
      <w:r w:rsidRPr="000342D4">
        <w:rPr>
          <w:rFonts w:ascii="Arial" w:hAnsi="Arial"/>
          <w:sz w:val="20"/>
          <w:szCs w:val="20"/>
        </w:rPr>
        <w:tab/>
        <w:t xml:space="preserve">Indicate the sources of funding of the local governmental unit </w:t>
      </w:r>
      <w:r w:rsidR="00D37C61" w:rsidRPr="000342D4">
        <w:rPr>
          <w:rFonts w:ascii="Arial" w:hAnsi="Arial"/>
          <w:sz w:val="20"/>
          <w:szCs w:val="20"/>
        </w:rPr>
        <w:t>which</w:t>
      </w:r>
      <w:r w:rsidRPr="000342D4">
        <w:rPr>
          <w:rFonts w:ascii="Arial" w:hAnsi="Arial"/>
          <w:sz w:val="20"/>
          <w:szCs w:val="20"/>
        </w:rPr>
        <w:t xml:space="preserve"> will be affected by these costs or savings.</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num" w:pos="1080"/>
        </w:tabs>
        <w:ind w:left="1080" w:hanging="360"/>
        <w:rPr>
          <w:rFonts w:ascii="Arial" w:hAnsi="Arial"/>
          <w:sz w:val="20"/>
          <w:szCs w:val="20"/>
        </w:rPr>
      </w:pPr>
      <w:r w:rsidRPr="000342D4">
        <w:rPr>
          <w:rFonts w:ascii="Arial" w:hAnsi="Arial"/>
          <w:sz w:val="20"/>
          <w:szCs w:val="20"/>
        </w:rPr>
        <w:t xml:space="preserve">      </w:t>
      </w:r>
      <w:r w:rsidRPr="000342D4">
        <w:rPr>
          <w:rFonts w:ascii="Arial" w:hAnsi="Arial"/>
          <w:sz w:val="20"/>
          <w:szCs w:val="20"/>
        </w:rPr>
        <w:tab/>
        <w:t xml:space="preserve">There </w:t>
      </w:r>
      <w:r w:rsidR="00191A90">
        <w:rPr>
          <w:rFonts w:ascii="Arial" w:hAnsi="Arial"/>
          <w:sz w:val="20"/>
          <w:szCs w:val="20"/>
        </w:rPr>
        <w:t>will be</w:t>
      </w:r>
      <w:r w:rsidRPr="000342D4">
        <w:rPr>
          <w:rFonts w:ascii="Arial" w:hAnsi="Arial"/>
          <w:sz w:val="20"/>
          <w:szCs w:val="20"/>
        </w:rPr>
        <w:t xml:space="preserve"> no costs or savings to local governmental units</w:t>
      </w:r>
      <w:r w:rsidR="0004418D">
        <w:rPr>
          <w:rFonts w:ascii="Arial" w:hAnsi="Arial"/>
          <w:sz w:val="20"/>
          <w:szCs w:val="20"/>
        </w:rPr>
        <w:t>,</w:t>
      </w:r>
      <w:r w:rsidR="00627B40" w:rsidRPr="000342D4">
        <w:rPr>
          <w:rFonts w:ascii="Arial" w:hAnsi="Arial"/>
          <w:sz w:val="20"/>
          <w:szCs w:val="20"/>
        </w:rPr>
        <w:t xml:space="preserve"> </w:t>
      </w:r>
      <w:r w:rsidR="00191A90">
        <w:rPr>
          <w:rFonts w:ascii="Arial" w:hAnsi="Arial"/>
          <w:sz w:val="20"/>
          <w:szCs w:val="20"/>
        </w:rPr>
        <w:t xml:space="preserve">so </w:t>
      </w:r>
      <w:r w:rsidRPr="000342D4">
        <w:rPr>
          <w:rFonts w:ascii="Arial" w:hAnsi="Arial"/>
          <w:sz w:val="20"/>
          <w:szCs w:val="20"/>
        </w:rPr>
        <w:t xml:space="preserve">no funding </w:t>
      </w:r>
      <w:r w:rsidR="0004418D">
        <w:rPr>
          <w:rFonts w:ascii="Arial" w:hAnsi="Arial"/>
          <w:sz w:val="20"/>
          <w:szCs w:val="20"/>
        </w:rPr>
        <w:t>sources will be affected</w:t>
      </w:r>
      <w:r w:rsidRPr="000342D4">
        <w:rPr>
          <w:rFonts w:ascii="Arial" w:hAnsi="Arial"/>
          <w:sz w:val="20"/>
          <w:szCs w:val="20"/>
        </w:rPr>
        <w:t>.</w:t>
      </w:r>
    </w:p>
    <w:p w:rsidR="009A1785" w:rsidRDefault="009A1785">
      <w:pPr>
        <w:ind w:firstLine="1440"/>
        <w:rPr>
          <w:rFonts w:ascii="Arial" w:hAnsi="Arial"/>
          <w:sz w:val="20"/>
          <w:szCs w:val="20"/>
        </w:rPr>
      </w:pPr>
    </w:p>
    <w:p w:rsidR="007F2DFA" w:rsidRDefault="007F2DFA">
      <w:pPr>
        <w:ind w:firstLine="1440"/>
        <w:rPr>
          <w:rFonts w:ascii="Arial" w:hAnsi="Arial"/>
          <w:sz w:val="20"/>
          <w:szCs w:val="20"/>
        </w:rPr>
      </w:pPr>
    </w:p>
    <w:p w:rsidR="007F2DFA" w:rsidRDefault="007F2DFA">
      <w:pPr>
        <w:ind w:firstLine="1440"/>
        <w:rPr>
          <w:rFonts w:ascii="Arial" w:hAnsi="Arial"/>
          <w:sz w:val="20"/>
          <w:szCs w:val="20"/>
        </w:rPr>
      </w:pPr>
    </w:p>
    <w:p w:rsidR="00ED59AB" w:rsidRDefault="00ED59AB">
      <w:pPr>
        <w:ind w:firstLine="1440"/>
        <w:rPr>
          <w:rFonts w:ascii="Arial" w:hAnsi="Arial"/>
          <w:sz w:val="20"/>
          <w:szCs w:val="20"/>
        </w:rPr>
      </w:pPr>
    </w:p>
    <w:p w:rsidR="00EA3713" w:rsidRDefault="00EA3713">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EA3713" w:rsidRDefault="00EA3713">
      <w:pPr>
        <w:ind w:firstLine="1440"/>
        <w:rPr>
          <w:rFonts w:ascii="Arial" w:hAnsi="Arial"/>
          <w:sz w:val="20"/>
          <w:szCs w:val="20"/>
        </w:rPr>
      </w:pPr>
    </w:p>
    <w:p w:rsidR="00DD48E2" w:rsidRDefault="00DD48E2">
      <w:pPr>
        <w:ind w:firstLine="1440"/>
        <w:rPr>
          <w:rFonts w:ascii="Arial" w:hAnsi="Arial"/>
          <w:sz w:val="20"/>
          <w:szCs w:val="20"/>
        </w:rPr>
      </w:pPr>
    </w:p>
    <w:p w:rsidR="00DD48E2" w:rsidRDefault="00DD48E2">
      <w:pPr>
        <w:ind w:firstLine="1440"/>
        <w:rPr>
          <w:rFonts w:ascii="Arial" w:hAnsi="Arial"/>
          <w:sz w:val="20"/>
          <w:szCs w:val="20"/>
        </w:rPr>
      </w:pPr>
    </w:p>
    <w:p w:rsidR="00EA3713" w:rsidRDefault="00EA3713">
      <w:pPr>
        <w:ind w:firstLine="1440"/>
        <w:rPr>
          <w:rFonts w:ascii="Arial" w:hAnsi="Arial"/>
          <w:sz w:val="20"/>
          <w:szCs w:val="20"/>
        </w:rPr>
      </w:pP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t>FISCAL AND ECONOMIC IMPACT STATEMENT</w:t>
      </w:r>
    </w:p>
    <w:p w:rsidR="007F2DFA" w:rsidRPr="002F1DFF" w:rsidRDefault="007F2DFA" w:rsidP="007F2DFA">
      <w:pPr>
        <w:tabs>
          <w:tab w:val="center" w:pos="5276"/>
        </w:tabs>
        <w:rPr>
          <w:rFonts w:ascii="Arial" w:hAnsi="Arial"/>
          <w:sz w:val="20"/>
          <w:szCs w:val="20"/>
        </w:rPr>
      </w:pP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t>WORKSHEET</w:t>
      </w:r>
    </w:p>
    <w:p w:rsidR="007F2DFA" w:rsidRPr="002F1DFF" w:rsidRDefault="007F2DFA" w:rsidP="007F2DFA">
      <w:pPr>
        <w:rPr>
          <w:rFonts w:ascii="Arial" w:hAnsi="Arial"/>
          <w:sz w:val="20"/>
          <w:szCs w:val="20"/>
        </w:rPr>
      </w:pPr>
    </w:p>
    <w:p w:rsidR="009A1785" w:rsidRPr="000342D4" w:rsidRDefault="009A1785">
      <w:pPr>
        <w:rPr>
          <w:rFonts w:ascii="Arial" w:hAnsi="Arial"/>
          <w:b/>
          <w:sz w:val="20"/>
          <w:szCs w:val="20"/>
        </w:rPr>
      </w:pPr>
    </w:p>
    <w:p w:rsidR="009A1785" w:rsidRPr="0060212A" w:rsidRDefault="009A1785" w:rsidP="000342D4">
      <w:pPr>
        <w:tabs>
          <w:tab w:val="left" w:pos="-1440"/>
        </w:tabs>
        <w:ind w:left="360" w:hanging="360"/>
        <w:rPr>
          <w:rFonts w:ascii="Arial" w:hAnsi="Arial"/>
          <w:sz w:val="20"/>
          <w:szCs w:val="20"/>
        </w:rPr>
      </w:pPr>
      <w:r w:rsidRPr="0060212A">
        <w:rPr>
          <w:rFonts w:ascii="Arial" w:hAnsi="Arial"/>
          <w:sz w:val="20"/>
          <w:szCs w:val="20"/>
        </w:rPr>
        <w:t>II.</w:t>
      </w:r>
      <w:r w:rsidRPr="0060212A">
        <w:rPr>
          <w:rFonts w:ascii="Arial" w:hAnsi="Arial"/>
          <w:sz w:val="20"/>
          <w:szCs w:val="20"/>
        </w:rPr>
        <w:tab/>
      </w:r>
      <w:r w:rsidRPr="0060212A">
        <w:rPr>
          <w:rFonts w:ascii="Arial" w:hAnsi="Arial"/>
          <w:sz w:val="20"/>
          <w:szCs w:val="20"/>
          <w:u w:val="single"/>
        </w:rPr>
        <w:t>EFFECT ON REVENUE COLLECTIONS OF STATE AND LOCAL GOVERNMENTAL UNITS</w:t>
      </w:r>
    </w:p>
    <w:p w:rsidR="009A1785" w:rsidRPr="00557E52" w:rsidRDefault="009A1785" w:rsidP="008264B8">
      <w:pPr>
        <w:rPr>
          <w:rFonts w:ascii="Arial" w:hAnsi="Arial" w:cs="Arial"/>
          <w:sz w:val="20"/>
          <w:szCs w:val="20"/>
        </w:rPr>
      </w:pPr>
    </w:p>
    <w:p w:rsidR="009A1785" w:rsidRPr="00557E52" w:rsidRDefault="009A1785" w:rsidP="000342D4">
      <w:pPr>
        <w:tabs>
          <w:tab w:val="left" w:pos="-1440"/>
        </w:tabs>
        <w:ind w:left="720" w:hanging="360"/>
        <w:rPr>
          <w:rFonts w:ascii="Arial" w:hAnsi="Arial" w:cs="Arial"/>
          <w:sz w:val="20"/>
          <w:szCs w:val="20"/>
        </w:rPr>
      </w:pPr>
      <w:r w:rsidRPr="00557E52">
        <w:rPr>
          <w:rFonts w:ascii="Arial" w:hAnsi="Arial" w:cs="Arial"/>
          <w:sz w:val="20"/>
          <w:szCs w:val="20"/>
        </w:rPr>
        <w:t xml:space="preserve">A. </w:t>
      </w:r>
      <w:r w:rsidRPr="00557E52">
        <w:rPr>
          <w:rFonts w:ascii="Arial" w:hAnsi="Arial" w:cs="Arial"/>
          <w:sz w:val="20"/>
          <w:szCs w:val="20"/>
        </w:rPr>
        <w:tab/>
        <w:t>What increase (decrease) in revenues can be anticipated from the proposed action?</w:t>
      </w:r>
    </w:p>
    <w:p w:rsidR="00404236" w:rsidRPr="00557E52" w:rsidRDefault="00404236" w:rsidP="000342D4">
      <w:pPr>
        <w:ind w:left="720" w:hanging="360"/>
        <w:rPr>
          <w:rFonts w:ascii="Arial" w:hAnsi="Arial" w:cs="Arial"/>
          <w:sz w:val="20"/>
          <w:szCs w:val="20"/>
        </w:rPr>
      </w:pPr>
    </w:p>
    <w:p w:rsidR="00AD073F" w:rsidRPr="00F238CC" w:rsidRDefault="00AD073F" w:rsidP="00AD073F">
      <w:pPr>
        <w:autoSpaceDE w:val="0"/>
        <w:autoSpaceDN w:val="0"/>
        <w:adjustRightInd w:val="0"/>
        <w:ind w:left="720"/>
        <w:rPr>
          <w:rFonts w:ascii="Arial" w:hAnsi="Arial" w:cs="Arial"/>
          <w:sz w:val="20"/>
          <w:szCs w:val="20"/>
        </w:rPr>
      </w:pPr>
      <w:r w:rsidRPr="00F238CC">
        <w:rPr>
          <w:rFonts w:ascii="Arial" w:hAnsi="Arial" w:cs="Arial"/>
          <w:sz w:val="20"/>
          <w:szCs w:val="20"/>
        </w:rPr>
        <w:t xml:space="preserve">No increase or decrease in revenues </w:t>
      </w:r>
      <w:r w:rsidR="0075408F">
        <w:rPr>
          <w:rFonts w:ascii="Arial" w:hAnsi="Arial" w:cs="Arial"/>
          <w:sz w:val="20"/>
          <w:szCs w:val="20"/>
        </w:rPr>
        <w:t xml:space="preserve">to state and local governmental units </w:t>
      </w:r>
      <w:r w:rsidR="002268AB">
        <w:rPr>
          <w:rFonts w:ascii="Arial" w:hAnsi="Arial" w:cs="Arial"/>
          <w:sz w:val="20"/>
          <w:szCs w:val="20"/>
        </w:rPr>
        <w:t>will be realized.</w:t>
      </w:r>
    </w:p>
    <w:p w:rsidR="007A71F3" w:rsidRPr="00557E52" w:rsidRDefault="007A71F3" w:rsidP="009452B6">
      <w:pPr>
        <w:autoSpaceDE w:val="0"/>
        <w:autoSpaceDN w:val="0"/>
        <w:adjustRightInd w:val="0"/>
        <w:ind w:left="720"/>
        <w:rPr>
          <w:rFonts w:ascii="Arial" w:hAnsi="Arial" w:cs="Arial"/>
          <w:sz w:val="20"/>
          <w:szCs w:val="20"/>
        </w:rPr>
      </w:pPr>
    </w:p>
    <w:p w:rsidR="009452B6" w:rsidRPr="0075421C" w:rsidRDefault="009452B6" w:rsidP="009452B6">
      <w:pPr>
        <w:pBdr>
          <w:top w:val="single" w:sz="4" w:space="1" w:color="auto"/>
        </w:pBdr>
        <w:tabs>
          <w:tab w:val="left" w:pos="-1440"/>
        </w:tabs>
        <w:ind w:left="9360" w:hanging="9360"/>
        <w:rPr>
          <w:rFonts w:ascii="Arial" w:hAnsi="Arial"/>
          <w:sz w:val="20"/>
          <w:szCs w:val="20"/>
        </w:rPr>
      </w:pPr>
    </w:p>
    <w:p w:rsidR="009452B6" w:rsidRPr="0075421C" w:rsidRDefault="009452B6" w:rsidP="009452B6">
      <w:pPr>
        <w:pBdr>
          <w:top w:val="single" w:sz="4" w:space="1" w:color="auto"/>
        </w:pBdr>
        <w:tabs>
          <w:tab w:val="left" w:pos="-1440"/>
        </w:tabs>
        <w:ind w:left="9360" w:hanging="9360"/>
        <w:rPr>
          <w:rFonts w:ascii="Arial" w:hAnsi="Arial"/>
          <w:sz w:val="20"/>
          <w:szCs w:val="20"/>
        </w:rPr>
      </w:pPr>
      <w:r w:rsidRPr="0075421C">
        <w:rPr>
          <w:rFonts w:ascii="Arial" w:hAnsi="Arial"/>
          <w:sz w:val="20"/>
          <w:szCs w:val="20"/>
        </w:rPr>
        <w:t xml:space="preserve">REVENUE INCREASE/DECREASE            </w:t>
      </w:r>
      <w:r w:rsidR="00C87343">
        <w:rPr>
          <w:rFonts w:ascii="Arial" w:hAnsi="Arial"/>
          <w:sz w:val="20"/>
          <w:szCs w:val="20"/>
        </w:rPr>
        <w:t xml:space="preserve">   </w:t>
      </w:r>
      <w:r w:rsidRPr="0075421C">
        <w:rPr>
          <w:rFonts w:ascii="Arial" w:hAnsi="Arial"/>
          <w:sz w:val="20"/>
          <w:szCs w:val="20"/>
        </w:rPr>
        <w:t xml:space="preserve">FY </w:t>
      </w:r>
      <w:r w:rsidR="0091216C">
        <w:rPr>
          <w:rFonts w:ascii="Arial" w:hAnsi="Arial"/>
          <w:sz w:val="20"/>
          <w:szCs w:val="20"/>
        </w:rPr>
        <w:t>2</w:t>
      </w:r>
      <w:r w:rsidR="001E184E">
        <w:rPr>
          <w:rFonts w:ascii="Arial" w:hAnsi="Arial"/>
          <w:sz w:val="20"/>
          <w:szCs w:val="20"/>
        </w:rPr>
        <w:t>4</w:t>
      </w:r>
      <w:r w:rsidRPr="0075421C">
        <w:rPr>
          <w:rFonts w:ascii="Arial" w:hAnsi="Arial"/>
          <w:sz w:val="20"/>
          <w:szCs w:val="20"/>
        </w:rPr>
        <w:t xml:space="preserve">                        </w:t>
      </w:r>
      <w:r w:rsidR="00C87343">
        <w:rPr>
          <w:rFonts w:ascii="Arial" w:hAnsi="Arial"/>
          <w:sz w:val="20"/>
          <w:szCs w:val="20"/>
        </w:rPr>
        <w:t xml:space="preserve">     </w:t>
      </w:r>
      <w:r w:rsidRPr="0075421C">
        <w:rPr>
          <w:rFonts w:ascii="Arial" w:hAnsi="Arial"/>
          <w:sz w:val="20"/>
          <w:szCs w:val="20"/>
        </w:rPr>
        <w:t xml:space="preserve"> FY </w:t>
      </w:r>
      <w:r w:rsidR="0091216C">
        <w:rPr>
          <w:rFonts w:ascii="Arial" w:hAnsi="Arial"/>
          <w:sz w:val="20"/>
          <w:szCs w:val="20"/>
        </w:rPr>
        <w:t>2</w:t>
      </w:r>
      <w:r w:rsidR="001E184E">
        <w:rPr>
          <w:rFonts w:ascii="Arial" w:hAnsi="Arial"/>
          <w:sz w:val="20"/>
          <w:szCs w:val="20"/>
        </w:rPr>
        <w:t>5</w:t>
      </w:r>
      <w:r w:rsidRPr="0075421C">
        <w:rPr>
          <w:rFonts w:ascii="Arial" w:hAnsi="Arial"/>
          <w:sz w:val="20"/>
          <w:szCs w:val="20"/>
        </w:rPr>
        <w:t xml:space="preserve">                      </w:t>
      </w:r>
      <w:r w:rsidR="00C87343">
        <w:rPr>
          <w:rFonts w:ascii="Arial" w:hAnsi="Arial"/>
          <w:sz w:val="20"/>
          <w:szCs w:val="20"/>
        </w:rPr>
        <w:t xml:space="preserve">     </w:t>
      </w:r>
      <w:r w:rsidRPr="0075421C">
        <w:rPr>
          <w:rFonts w:ascii="Arial" w:hAnsi="Arial"/>
          <w:sz w:val="20"/>
          <w:szCs w:val="20"/>
        </w:rPr>
        <w:t>FY</w:t>
      </w:r>
      <w:r w:rsidR="00C87343">
        <w:rPr>
          <w:rFonts w:ascii="Arial" w:hAnsi="Arial"/>
          <w:sz w:val="20"/>
          <w:szCs w:val="20"/>
        </w:rPr>
        <w:t xml:space="preserve"> </w:t>
      </w:r>
      <w:r w:rsidR="0091216C">
        <w:rPr>
          <w:rFonts w:ascii="Arial" w:hAnsi="Arial"/>
          <w:sz w:val="20"/>
          <w:szCs w:val="20"/>
        </w:rPr>
        <w:t>2</w:t>
      </w:r>
      <w:r w:rsidR="001E184E">
        <w:rPr>
          <w:rFonts w:ascii="Arial" w:hAnsi="Arial"/>
          <w:sz w:val="20"/>
          <w:szCs w:val="20"/>
        </w:rPr>
        <w:t>6</w:t>
      </w:r>
    </w:p>
    <w:p w:rsidR="009452B6" w:rsidRPr="0075421C" w:rsidRDefault="009452B6" w:rsidP="009452B6">
      <w:pPr>
        <w:tabs>
          <w:tab w:val="left" w:pos="10555"/>
        </w:tabs>
        <w:rPr>
          <w:rFonts w:ascii="Arial" w:hAnsi="Arial"/>
          <w:sz w:val="20"/>
          <w:szCs w:val="20"/>
        </w:rPr>
      </w:pPr>
      <w:r w:rsidRPr="0075421C">
        <w:rPr>
          <w:rFonts w:ascii="Arial" w:hAnsi="Arial"/>
          <w:sz w:val="20"/>
          <w:szCs w:val="20"/>
        </w:rPr>
        <w:t>____________________________________________________________________________________</w:t>
      </w:r>
    </w:p>
    <w:p w:rsidR="009452B6" w:rsidRPr="0075421C" w:rsidRDefault="009452B6" w:rsidP="009452B6">
      <w:pPr>
        <w:tabs>
          <w:tab w:val="left" w:pos="2880"/>
        </w:tabs>
        <w:rPr>
          <w:rFonts w:ascii="Arial" w:hAnsi="Arial"/>
          <w:sz w:val="20"/>
          <w:szCs w:val="20"/>
        </w:rPr>
      </w:pPr>
      <w:r w:rsidRPr="0075421C">
        <w:rPr>
          <w:rFonts w:ascii="Arial" w:hAnsi="Arial"/>
          <w:sz w:val="20"/>
          <w:szCs w:val="20"/>
        </w:rPr>
        <w:t>STATE GENERAL FUND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1440"/>
          <w:tab w:val="left" w:pos="2880"/>
        </w:tabs>
        <w:ind w:left="3600" w:hanging="3600"/>
        <w:rPr>
          <w:rFonts w:ascii="Arial" w:hAnsi="Arial"/>
          <w:sz w:val="20"/>
          <w:szCs w:val="20"/>
        </w:rPr>
      </w:pPr>
      <w:r w:rsidRPr="0075421C">
        <w:rPr>
          <w:rFonts w:ascii="Arial" w:hAnsi="Arial"/>
          <w:sz w:val="20"/>
          <w:szCs w:val="20"/>
        </w:rPr>
        <w:t>AGENCY SELF-GENERATED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s>
        <w:rPr>
          <w:rFonts w:ascii="Arial" w:hAnsi="Arial"/>
          <w:sz w:val="20"/>
          <w:szCs w:val="20"/>
        </w:rPr>
      </w:pPr>
      <w:r w:rsidRPr="0075421C">
        <w:rPr>
          <w:rFonts w:ascii="Arial" w:hAnsi="Arial"/>
          <w:sz w:val="20"/>
          <w:szCs w:val="20"/>
        </w:rPr>
        <w:t>RESTRICTED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 w:val="left" w:pos="8640"/>
        </w:tabs>
        <w:rPr>
          <w:rFonts w:ascii="Arial" w:hAnsi="Arial"/>
          <w:sz w:val="20"/>
          <w:szCs w:val="20"/>
        </w:rPr>
      </w:pPr>
      <w:r w:rsidRPr="0075421C">
        <w:rPr>
          <w:rFonts w:ascii="Arial" w:hAnsi="Arial"/>
          <w:sz w:val="20"/>
          <w:szCs w:val="20"/>
        </w:rPr>
        <w:t>FEDERAL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 w:val="left" w:pos="3240"/>
        </w:tabs>
        <w:rPr>
          <w:rFonts w:ascii="Arial" w:hAnsi="Arial"/>
          <w:sz w:val="20"/>
          <w:szCs w:val="20"/>
        </w:rPr>
      </w:pPr>
      <w:r w:rsidRPr="0075421C">
        <w:rPr>
          <w:rFonts w:ascii="Arial" w:hAnsi="Arial"/>
          <w:sz w:val="20"/>
          <w:szCs w:val="20"/>
          <w:u w:val="single"/>
        </w:rPr>
        <w:t xml:space="preserve">LOCAL FUNDS                          </w:t>
      </w:r>
      <w:r>
        <w:rPr>
          <w:rFonts w:ascii="Arial" w:hAnsi="Arial"/>
          <w:sz w:val="20"/>
          <w:szCs w:val="20"/>
          <w:u w:val="single"/>
        </w:rPr>
        <w:t xml:space="preserve">                      </w:t>
      </w:r>
      <w:r w:rsidRPr="00972B46">
        <w:rPr>
          <w:rFonts w:ascii="Arial" w:hAnsi="Arial"/>
          <w:sz w:val="12"/>
          <w:szCs w:val="12"/>
          <w:u w:val="single"/>
        </w:rPr>
        <w:t xml:space="preserve"> </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 xml:space="preserve">-0-          </w:t>
      </w:r>
      <w:r w:rsidRPr="0075421C">
        <w:rPr>
          <w:rFonts w:ascii="Arial" w:hAnsi="Arial"/>
          <w:color w:val="FFFFFF"/>
          <w:sz w:val="2"/>
          <w:szCs w:val="2"/>
          <w:u w:val="single"/>
        </w:rPr>
        <w:t>a</w:t>
      </w:r>
    </w:p>
    <w:p w:rsidR="009452B6" w:rsidRPr="0075421C" w:rsidRDefault="009452B6" w:rsidP="009452B6">
      <w:pPr>
        <w:tabs>
          <w:tab w:val="left" w:pos="2880"/>
        </w:tabs>
        <w:rPr>
          <w:rFonts w:ascii="Arial" w:hAnsi="Arial"/>
          <w:sz w:val="20"/>
          <w:szCs w:val="20"/>
        </w:rPr>
      </w:pPr>
      <w:r w:rsidRPr="0075421C">
        <w:rPr>
          <w:rFonts w:ascii="Arial" w:hAnsi="Arial"/>
          <w:bCs/>
          <w:sz w:val="20"/>
          <w:szCs w:val="20"/>
        </w:rPr>
        <w:t>TOTAL</w:t>
      </w:r>
      <w:r w:rsidRPr="0075421C">
        <w:rPr>
          <w:rFonts w:ascii="Arial" w:hAnsi="Arial"/>
          <w:b/>
          <w:bCs/>
          <w:sz w:val="20"/>
          <w:szCs w:val="20"/>
        </w:rPr>
        <w:t xml:space="preserve">   </w:t>
      </w:r>
      <w:r w:rsidRPr="0075421C">
        <w:rPr>
          <w:rFonts w:ascii="Arial" w:hAnsi="Arial"/>
          <w:sz w:val="20"/>
          <w:szCs w:val="20"/>
        </w:rPr>
        <w:t xml:space="preserve">                     </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 xml:space="preserve">-0-  </w:t>
      </w:r>
    </w:p>
    <w:p w:rsidR="009452B6" w:rsidRPr="0075421C" w:rsidRDefault="009452B6" w:rsidP="009452B6">
      <w:pPr>
        <w:rPr>
          <w:rFonts w:ascii="Arial" w:hAnsi="Arial"/>
          <w:sz w:val="20"/>
          <w:szCs w:val="20"/>
        </w:rPr>
      </w:pPr>
      <w:r w:rsidRPr="0075421C">
        <w:rPr>
          <w:rFonts w:ascii="Arial" w:hAnsi="Arial"/>
          <w:sz w:val="20"/>
          <w:szCs w:val="20"/>
        </w:rPr>
        <w:t>*Specify the particular fund being impacted.</w:t>
      </w:r>
    </w:p>
    <w:p w:rsidR="009452B6" w:rsidRPr="0075421C" w:rsidRDefault="009452B6" w:rsidP="009452B6">
      <w:pPr>
        <w:rPr>
          <w:rFonts w:ascii="Arial" w:hAnsi="Arial"/>
          <w:sz w:val="20"/>
          <w:szCs w:val="20"/>
        </w:rPr>
      </w:pPr>
    </w:p>
    <w:p w:rsidR="009A1785" w:rsidRPr="0060212A" w:rsidRDefault="009A1785" w:rsidP="000342D4">
      <w:pPr>
        <w:tabs>
          <w:tab w:val="left" w:pos="-1440"/>
        </w:tabs>
        <w:ind w:left="720" w:hanging="360"/>
        <w:rPr>
          <w:rFonts w:ascii="Arial" w:hAnsi="Arial"/>
          <w:sz w:val="20"/>
          <w:szCs w:val="20"/>
        </w:rPr>
      </w:pPr>
      <w:r w:rsidRPr="0060212A">
        <w:rPr>
          <w:rFonts w:ascii="Arial" w:hAnsi="Arial"/>
          <w:sz w:val="20"/>
          <w:szCs w:val="20"/>
        </w:rPr>
        <w:t>B.</w:t>
      </w:r>
      <w:r w:rsidRPr="0060212A">
        <w:rPr>
          <w:rFonts w:ascii="Arial" w:hAnsi="Arial"/>
          <w:sz w:val="20"/>
          <w:szCs w:val="20"/>
        </w:rPr>
        <w:tab/>
        <w:t>Provide a narrative explanation of each increase or decrease in revenues shown in "A."  Describe all data, assumptions, and methods used in calculating these increases or decreases.</w:t>
      </w:r>
    </w:p>
    <w:p w:rsidR="009A1785" w:rsidRPr="0060212A" w:rsidRDefault="009A1785">
      <w:pPr>
        <w:tabs>
          <w:tab w:val="center" w:pos="5276"/>
        </w:tabs>
        <w:rPr>
          <w:rFonts w:ascii="Arial" w:hAnsi="Arial"/>
          <w:sz w:val="20"/>
          <w:szCs w:val="20"/>
        </w:rPr>
      </w:pPr>
      <w:r w:rsidRPr="0060212A">
        <w:rPr>
          <w:rFonts w:ascii="Arial" w:hAnsi="Arial"/>
          <w:sz w:val="20"/>
          <w:szCs w:val="20"/>
        </w:rPr>
        <w:t xml:space="preserve">       </w:t>
      </w:r>
    </w:p>
    <w:p w:rsidR="009A1785" w:rsidRPr="0060212A" w:rsidRDefault="009A1785" w:rsidP="000342D4">
      <w:pPr>
        <w:ind w:left="720"/>
        <w:rPr>
          <w:rFonts w:ascii="Arial" w:hAnsi="Arial"/>
          <w:sz w:val="20"/>
          <w:szCs w:val="20"/>
        </w:rPr>
      </w:pPr>
      <w:r w:rsidRPr="0060212A">
        <w:rPr>
          <w:rFonts w:ascii="Arial" w:hAnsi="Arial"/>
          <w:sz w:val="20"/>
          <w:szCs w:val="20"/>
        </w:rPr>
        <w:t>No increase or decrease in revenues will be realized.</w:t>
      </w:r>
    </w:p>
    <w:p w:rsidR="00607D47" w:rsidRDefault="00607D47">
      <w:pPr>
        <w:rPr>
          <w:rFonts w:ascii="Arial" w:hAnsi="Arial"/>
          <w:sz w:val="20"/>
          <w:szCs w:val="20"/>
        </w:rPr>
      </w:pPr>
    </w:p>
    <w:p w:rsidR="008A6164" w:rsidRPr="002F1DFF" w:rsidRDefault="008A6164">
      <w:pPr>
        <w:rPr>
          <w:rFonts w:ascii="Arial" w:hAnsi="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III.</w:t>
      </w:r>
      <w:r w:rsidRPr="002F1DFF">
        <w:rPr>
          <w:rFonts w:ascii="Arial" w:hAnsi="Arial"/>
          <w:sz w:val="20"/>
          <w:szCs w:val="20"/>
        </w:rPr>
        <w:tab/>
      </w:r>
      <w:r w:rsidRPr="002F1DFF">
        <w:rPr>
          <w:rFonts w:ascii="Arial" w:hAnsi="Arial"/>
          <w:sz w:val="20"/>
          <w:szCs w:val="20"/>
          <w:u w:val="single"/>
        </w:rPr>
        <w:t>COSTS AND/OR ECONOMIC BENEFITS TO DIRECTLY AFFECTED PER</w:t>
      </w:r>
      <w:r w:rsidR="007A2EC0">
        <w:rPr>
          <w:rFonts w:ascii="Arial" w:hAnsi="Arial"/>
          <w:sz w:val="20"/>
          <w:szCs w:val="20"/>
          <w:u w:val="single"/>
        </w:rPr>
        <w:t>SONS</w:t>
      </w:r>
      <w:r w:rsidR="00BC6B84">
        <w:rPr>
          <w:rFonts w:ascii="Arial" w:hAnsi="Arial"/>
          <w:sz w:val="20"/>
          <w:szCs w:val="20"/>
          <w:u w:val="single"/>
        </w:rPr>
        <w:t>, SMALL BUSINESSES,</w:t>
      </w:r>
      <w:r w:rsidR="007A2EC0">
        <w:rPr>
          <w:rFonts w:ascii="Arial" w:hAnsi="Arial"/>
          <w:sz w:val="20"/>
          <w:szCs w:val="20"/>
          <w:u w:val="single"/>
        </w:rPr>
        <w:t xml:space="preserve"> OR NONGOVERNMENTAL </w:t>
      </w:r>
      <w:r w:rsidRPr="002F1DFF">
        <w:rPr>
          <w:rFonts w:ascii="Arial" w:hAnsi="Arial"/>
          <w:sz w:val="20"/>
          <w:szCs w:val="20"/>
          <w:u w:val="single"/>
        </w:rPr>
        <w:t>GROUPS</w:t>
      </w:r>
    </w:p>
    <w:p w:rsidR="009A1785" w:rsidRPr="002F1DFF" w:rsidRDefault="009A1785" w:rsidP="00AF78BB">
      <w:pPr>
        <w:rPr>
          <w:rFonts w:ascii="Arial" w:hAnsi="Arial" w:cs="Arial"/>
          <w:sz w:val="20"/>
          <w:szCs w:val="20"/>
        </w:rPr>
      </w:pPr>
    </w:p>
    <w:p w:rsidR="009A1785" w:rsidRPr="00A32A40" w:rsidRDefault="009A1785" w:rsidP="002F1DFF">
      <w:pPr>
        <w:numPr>
          <w:ilvl w:val="0"/>
          <w:numId w:val="3"/>
        </w:numPr>
        <w:tabs>
          <w:tab w:val="clear" w:pos="1080"/>
          <w:tab w:val="left" w:pos="-1440"/>
          <w:tab w:val="num" w:pos="720"/>
        </w:tabs>
        <w:ind w:left="720"/>
        <w:rPr>
          <w:rFonts w:ascii="Arial" w:hAnsi="Arial" w:cs="Arial"/>
          <w:sz w:val="20"/>
          <w:szCs w:val="20"/>
        </w:rPr>
      </w:pPr>
      <w:r w:rsidRPr="002F1DFF">
        <w:rPr>
          <w:rFonts w:ascii="Arial" w:hAnsi="Arial" w:cs="Arial"/>
          <w:sz w:val="20"/>
          <w:szCs w:val="20"/>
        </w:rPr>
        <w:t>What persons</w:t>
      </w:r>
      <w:r w:rsidR="00BC6B84">
        <w:rPr>
          <w:rFonts w:ascii="Arial" w:hAnsi="Arial" w:cs="Arial"/>
          <w:sz w:val="20"/>
          <w:szCs w:val="20"/>
        </w:rPr>
        <w:t>, small businesses,</w:t>
      </w:r>
      <w:r w:rsidRPr="002F1DFF">
        <w:rPr>
          <w:rFonts w:ascii="Arial" w:hAnsi="Arial" w:cs="Arial"/>
          <w:sz w:val="20"/>
          <w:szCs w:val="20"/>
        </w:rPr>
        <w:t xml:space="preserve"> or non-governmental groups would be directly affected by the proposed action?  </w:t>
      </w:r>
      <w:r w:rsidRPr="00A32A40">
        <w:rPr>
          <w:rFonts w:ascii="Arial" w:hAnsi="Arial" w:cs="Arial"/>
          <w:sz w:val="20"/>
          <w:szCs w:val="20"/>
        </w:rPr>
        <w:t>For each, provide an estimate and a narrative description of any effect on costs, including workload adjustments and additional paperwork (number of new forms, additional documentation, etc.), they may have to incur as a result of the proposed action.</w:t>
      </w:r>
    </w:p>
    <w:p w:rsidR="009A1785" w:rsidRPr="009300C5" w:rsidRDefault="009A1785" w:rsidP="000B7753">
      <w:pPr>
        <w:tabs>
          <w:tab w:val="num" w:pos="1440"/>
        </w:tabs>
        <w:ind w:left="1440" w:hanging="720"/>
        <w:rPr>
          <w:rFonts w:ascii="Arial" w:hAnsi="Arial" w:cs="Arial"/>
          <w:sz w:val="20"/>
          <w:szCs w:val="20"/>
        </w:rPr>
      </w:pPr>
    </w:p>
    <w:p w:rsidR="006D7206" w:rsidRPr="009300C5" w:rsidRDefault="00761407" w:rsidP="009300C5">
      <w:pPr>
        <w:tabs>
          <w:tab w:val="left" w:pos="-1440"/>
          <w:tab w:val="num" w:pos="720"/>
        </w:tabs>
        <w:ind w:left="720"/>
        <w:rPr>
          <w:rFonts w:ascii="Arial" w:hAnsi="Arial" w:cs="Arial"/>
          <w:sz w:val="20"/>
          <w:szCs w:val="20"/>
        </w:rPr>
      </w:pPr>
      <w:r w:rsidRPr="009300C5">
        <w:rPr>
          <w:rFonts w:ascii="Arial" w:hAnsi="Arial" w:cs="Arial"/>
          <w:sz w:val="20"/>
          <w:szCs w:val="20"/>
        </w:rPr>
        <w:t xml:space="preserve">The proposed rule </w:t>
      </w:r>
      <w:r w:rsidR="0041054A" w:rsidRPr="009300C5">
        <w:rPr>
          <w:rFonts w:ascii="Arial" w:hAnsi="Arial" w:cs="Arial"/>
          <w:sz w:val="20"/>
          <w:szCs w:val="20"/>
        </w:rPr>
        <w:t xml:space="preserve">will </w:t>
      </w:r>
      <w:r w:rsidR="00AB68E3" w:rsidRPr="009300C5">
        <w:rPr>
          <w:rFonts w:ascii="Arial" w:hAnsi="Arial" w:cs="Arial"/>
          <w:sz w:val="20"/>
          <w:szCs w:val="20"/>
        </w:rPr>
        <w:t>repeal LAC 33:III.506 (Clean Air Interstate Rule Requirements)</w:t>
      </w:r>
      <w:r w:rsidR="0041054A" w:rsidRPr="009300C5">
        <w:rPr>
          <w:rFonts w:ascii="Arial" w:hAnsi="Arial" w:cs="Arial"/>
          <w:sz w:val="20"/>
          <w:szCs w:val="20"/>
        </w:rPr>
        <w:t>.</w:t>
      </w:r>
      <w:r w:rsidR="009300C5" w:rsidRPr="009300C5">
        <w:rPr>
          <w:rFonts w:ascii="Arial" w:hAnsi="Arial" w:cs="Arial"/>
          <w:sz w:val="20"/>
          <w:szCs w:val="20"/>
        </w:rPr>
        <w:t xml:space="preserve">  Because CAIR is no longer effective, no persons or non-governmental groups will be directly affected by the proposed action.  Accordingly, t</w:t>
      </w:r>
      <w:r w:rsidRPr="009300C5">
        <w:rPr>
          <w:rFonts w:ascii="Arial" w:hAnsi="Arial" w:cs="Arial"/>
          <w:sz w:val="20"/>
          <w:szCs w:val="20"/>
        </w:rPr>
        <w:t xml:space="preserve">here will be no </w:t>
      </w:r>
      <w:r w:rsidR="006D7206">
        <w:rPr>
          <w:rFonts w:ascii="Arial" w:hAnsi="Arial" w:cs="Arial"/>
          <w:sz w:val="20"/>
          <w:szCs w:val="20"/>
        </w:rPr>
        <w:t xml:space="preserve">economic effect. </w:t>
      </w:r>
    </w:p>
    <w:p w:rsidR="00C06856" w:rsidRPr="009300C5" w:rsidRDefault="00C06856" w:rsidP="000B7753">
      <w:pPr>
        <w:tabs>
          <w:tab w:val="left" w:pos="-1440"/>
          <w:tab w:val="num" w:pos="720"/>
        </w:tabs>
        <w:ind w:left="720"/>
        <w:rPr>
          <w:rFonts w:ascii="Arial" w:hAnsi="Arial" w:cs="Arial"/>
          <w:sz w:val="20"/>
          <w:szCs w:val="20"/>
        </w:rPr>
      </w:pPr>
    </w:p>
    <w:p w:rsidR="009A1785" w:rsidRPr="001B79A8" w:rsidRDefault="009A1785" w:rsidP="002F1DFF">
      <w:pPr>
        <w:tabs>
          <w:tab w:val="left" w:pos="-1440"/>
        </w:tabs>
        <w:ind w:left="720" w:hanging="360"/>
        <w:rPr>
          <w:rFonts w:ascii="Arial" w:hAnsi="Arial" w:cs="Arial"/>
          <w:sz w:val="20"/>
          <w:szCs w:val="20"/>
        </w:rPr>
      </w:pPr>
      <w:r w:rsidRPr="001B79A8">
        <w:rPr>
          <w:rFonts w:ascii="Arial" w:hAnsi="Arial" w:cs="Arial"/>
          <w:sz w:val="20"/>
          <w:szCs w:val="20"/>
        </w:rPr>
        <w:t xml:space="preserve">B.  </w:t>
      </w:r>
      <w:r w:rsidRPr="001B79A8">
        <w:rPr>
          <w:rFonts w:ascii="Arial" w:hAnsi="Arial" w:cs="Arial"/>
          <w:sz w:val="20"/>
          <w:szCs w:val="20"/>
        </w:rPr>
        <w:tab/>
        <w:t>Also provide an estimate and a narrative description of any impact on receipts and/or income resulting from this rule or rule change to these groups.</w:t>
      </w:r>
    </w:p>
    <w:p w:rsidR="002F1DFF" w:rsidRPr="001B79A8" w:rsidRDefault="002F1DFF" w:rsidP="002F1DFF">
      <w:pPr>
        <w:tabs>
          <w:tab w:val="left" w:pos="720"/>
        </w:tabs>
        <w:rPr>
          <w:rFonts w:ascii="Arial" w:hAnsi="Arial" w:cs="Arial"/>
          <w:sz w:val="20"/>
          <w:szCs w:val="20"/>
        </w:rPr>
      </w:pPr>
    </w:p>
    <w:p w:rsidR="00024BD6" w:rsidRPr="002F1DFF" w:rsidRDefault="00024BD6" w:rsidP="00024BD6">
      <w:pPr>
        <w:tabs>
          <w:tab w:val="left" w:pos="720"/>
        </w:tabs>
        <w:ind w:left="720"/>
        <w:rPr>
          <w:rFonts w:ascii="Arial" w:hAnsi="Arial" w:cs="Arial"/>
          <w:sz w:val="20"/>
          <w:szCs w:val="20"/>
        </w:rPr>
      </w:pPr>
      <w:r>
        <w:rPr>
          <w:rFonts w:ascii="Arial" w:hAnsi="Arial" w:cs="Arial"/>
          <w:sz w:val="20"/>
          <w:szCs w:val="20"/>
        </w:rPr>
        <w:t>No impact</w:t>
      </w:r>
      <w:r w:rsidRPr="001B79A8">
        <w:rPr>
          <w:rFonts w:ascii="Arial" w:hAnsi="Arial" w:cs="Arial"/>
          <w:sz w:val="20"/>
          <w:szCs w:val="20"/>
        </w:rPr>
        <w:t xml:space="preserve"> on receipts or income of the </w:t>
      </w:r>
      <w:r w:rsidR="007C4BBD">
        <w:rPr>
          <w:rFonts w:ascii="Arial" w:hAnsi="Arial" w:cs="Arial"/>
          <w:sz w:val="20"/>
          <w:szCs w:val="20"/>
        </w:rPr>
        <w:t xml:space="preserve">directly </w:t>
      </w:r>
      <w:r w:rsidRPr="001B79A8">
        <w:rPr>
          <w:rFonts w:ascii="Arial" w:hAnsi="Arial" w:cs="Arial"/>
          <w:sz w:val="20"/>
          <w:szCs w:val="20"/>
        </w:rPr>
        <w:t xml:space="preserve">affected persons or </w:t>
      </w:r>
      <w:r>
        <w:rPr>
          <w:rFonts w:ascii="Arial" w:hAnsi="Arial" w:cs="Arial"/>
          <w:sz w:val="20"/>
          <w:szCs w:val="20"/>
        </w:rPr>
        <w:t xml:space="preserve">non-governmental </w:t>
      </w:r>
      <w:r w:rsidRPr="001B79A8">
        <w:rPr>
          <w:rFonts w:ascii="Arial" w:hAnsi="Arial" w:cs="Arial"/>
          <w:sz w:val="20"/>
          <w:szCs w:val="20"/>
        </w:rPr>
        <w:t>groups is expected.</w:t>
      </w:r>
    </w:p>
    <w:p w:rsidR="009A1785" w:rsidRDefault="009A1785" w:rsidP="00024BD6">
      <w:pPr>
        <w:tabs>
          <w:tab w:val="left" w:pos="720"/>
        </w:tabs>
        <w:rPr>
          <w:rFonts w:ascii="Arial" w:hAnsi="Arial" w:cs="Arial"/>
          <w:sz w:val="20"/>
          <w:szCs w:val="20"/>
        </w:rPr>
      </w:pPr>
    </w:p>
    <w:p w:rsidR="00564D65" w:rsidRPr="002F1DFF" w:rsidRDefault="00564D65" w:rsidP="00024BD6">
      <w:pPr>
        <w:tabs>
          <w:tab w:val="left" w:pos="720"/>
        </w:tabs>
        <w:rPr>
          <w:rFonts w:ascii="Arial" w:hAnsi="Arial" w:cs="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IV.</w:t>
      </w:r>
      <w:r w:rsidRPr="002F1DFF">
        <w:rPr>
          <w:rFonts w:ascii="Arial" w:hAnsi="Arial"/>
          <w:sz w:val="20"/>
          <w:szCs w:val="20"/>
        </w:rPr>
        <w:tab/>
      </w:r>
      <w:r w:rsidRPr="002F1DFF">
        <w:rPr>
          <w:rFonts w:ascii="Arial" w:hAnsi="Arial"/>
          <w:sz w:val="20"/>
          <w:szCs w:val="20"/>
          <w:u w:val="single"/>
        </w:rPr>
        <w:t>EFFECTS ON COMPETITION AND EMPLOYMENT</w:t>
      </w:r>
    </w:p>
    <w:p w:rsidR="009A1785" w:rsidRPr="002F1DFF" w:rsidRDefault="009A1785" w:rsidP="00404236">
      <w:pPr>
        <w:rPr>
          <w:rFonts w:ascii="Arial" w:hAnsi="Arial" w:cs="Arial"/>
          <w:sz w:val="20"/>
          <w:szCs w:val="20"/>
        </w:rPr>
      </w:pPr>
    </w:p>
    <w:p w:rsidR="009A1785" w:rsidRPr="002F1DFF" w:rsidRDefault="009A1785" w:rsidP="002F1DFF">
      <w:pPr>
        <w:ind w:left="360"/>
        <w:rPr>
          <w:rFonts w:ascii="Arial" w:hAnsi="Arial" w:cs="Arial"/>
          <w:sz w:val="20"/>
          <w:szCs w:val="20"/>
        </w:rPr>
      </w:pPr>
      <w:r w:rsidRPr="002F1DFF">
        <w:rPr>
          <w:rFonts w:ascii="Arial" w:hAnsi="Arial" w:cs="Arial"/>
          <w:sz w:val="20"/>
          <w:szCs w:val="20"/>
        </w:rPr>
        <w:t>Identify and provide estimates of the impact of the proposed action on competition and employment in the public and private sectors.  Include a summary of any data, assumptions and methods used in making these estimates.</w:t>
      </w:r>
    </w:p>
    <w:p w:rsidR="009A1785" w:rsidRPr="002F1DFF" w:rsidRDefault="009A1785" w:rsidP="002F1DFF">
      <w:pPr>
        <w:ind w:left="360"/>
        <w:rPr>
          <w:rFonts w:ascii="Arial" w:hAnsi="Arial" w:cs="Arial"/>
          <w:sz w:val="20"/>
          <w:szCs w:val="20"/>
        </w:rPr>
      </w:pPr>
    </w:p>
    <w:p w:rsidR="002F1DFF" w:rsidRPr="002F0328" w:rsidRDefault="009A1785" w:rsidP="002F0328">
      <w:pPr>
        <w:pStyle w:val="BodyTextIndent"/>
        <w:ind w:left="360"/>
        <w:rPr>
          <w:rFonts w:cs="Arial"/>
          <w:color w:val="auto"/>
          <w:sz w:val="20"/>
          <w:szCs w:val="20"/>
        </w:rPr>
      </w:pPr>
      <w:r w:rsidRPr="002F1DFF">
        <w:rPr>
          <w:rFonts w:cs="Arial"/>
          <w:color w:val="auto"/>
          <w:sz w:val="20"/>
          <w:szCs w:val="20"/>
        </w:rPr>
        <w:t>There will be no effect on competition</w:t>
      </w:r>
      <w:r w:rsidR="00404236" w:rsidRPr="002F1DFF">
        <w:rPr>
          <w:rFonts w:cs="Arial"/>
          <w:color w:val="auto"/>
          <w:sz w:val="20"/>
          <w:szCs w:val="20"/>
        </w:rPr>
        <w:t xml:space="preserve"> or employment </w:t>
      </w:r>
      <w:r w:rsidR="00DD28A5">
        <w:rPr>
          <w:rFonts w:cs="Arial"/>
          <w:color w:val="auto"/>
          <w:sz w:val="20"/>
          <w:szCs w:val="20"/>
        </w:rPr>
        <w:t>in the public or private sector</w:t>
      </w:r>
      <w:r w:rsidR="00404236" w:rsidRPr="002F1DFF">
        <w:rPr>
          <w:rFonts w:cs="Arial"/>
          <w:color w:val="auto"/>
          <w:sz w:val="20"/>
          <w:szCs w:val="20"/>
        </w:rPr>
        <w:t>.</w:t>
      </w:r>
    </w:p>
    <w:p w:rsidR="002F1DFF" w:rsidRPr="002F1DFF" w:rsidRDefault="002F1DFF" w:rsidP="002F1DFF">
      <w:pPr>
        <w:pStyle w:val="BodyTextIndent"/>
        <w:ind w:left="360"/>
        <w:rPr>
          <w:rFonts w:cs="Arial"/>
          <w:color w:val="auto"/>
          <w:sz w:val="20"/>
          <w:szCs w:val="20"/>
        </w:rPr>
      </w:pPr>
    </w:p>
    <w:sectPr w:rsidR="002F1DFF" w:rsidRPr="002F1DFF" w:rsidSect="00BC6B6F">
      <w:pgSz w:w="12240" w:h="20160" w:code="5"/>
      <w:pgMar w:top="1440" w:right="1440" w:bottom="1440" w:left="1440" w:header="360" w:footer="720" w:gutter="0"/>
      <w:paperSrc w:first="11" w:other="1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15:restartNumberingAfterBreak="0">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15:restartNumberingAfterBreak="0">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15:restartNumberingAfterBreak="0">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15:restartNumberingAfterBreak="0">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7"/>
    <w:rsid w:val="0000277C"/>
    <w:rsid w:val="00005364"/>
    <w:rsid w:val="000126D0"/>
    <w:rsid w:val="00024BD6"/>
    <w:rsid w:val="000342D4"/>
    <w:rsid w:val="0004418D"/>
    <w:rsid w:val="00053C35"/>
    <w:rsid w:val="0005446A"/>
    <w:rsid w:val="000724F8"/>
    <w:rsid w:val="00081A3E"/>
    <w:rsid w:val="000824EB"/>
    <w:rsid w:val="000B7753"/>
    <w:rsid w:val="000C0DCE"/>
    <w:rsid w:val="000C36AB"/>
    <w:rsid w:val="000D0557"/>
    <w:rsid w:val="001232AE"/>
    <w:rsid w:val="00126817"/>
    <w:rsid w:val="00133B87"/>
    <w:rsid w:val="001430C4"/>
    <w:rsid w:val="00174ED9"/>
    <w:rsid w:val="00190510"/>
    <w:rsid w:val="00191A90"/>
    <w:rsid w:val="0019352F"/>
    <w:rsid w:val="001B4587"/>
    <w:rsid w:val="001B53BE"/>
    <w:rsid w:val="001B79A8"/>
    <w:rsid w:val="001C757F"/>
    <w:rsid w:val="001D17C9"/>
    <w:rsid w:val="001D3AA1"/>
    <w:rsid w:val="001E184E"/>
    <w:rsid w:val="00202D7B"/>
    <w:rsid w:val="002056A5"/>
    <w:rsid w:val="00205F6A"/>
    <w:rsid w:val="00210F43"/>
    <w:rsid w:val="002116D7"/>
    <w:rsid w:val="002268AB"/>
    <w:rsid w:val="0023015E"/>
    <w:rsid w:val="00240179"/>
    <w:rsid w:val="00245CB3"/>
    <w:rsid w:val="002557BA"/>
    <w:rsid w:val="00260A44"/>
    <w:rsid w:val="002641A0"/>
    <w:rsid w:val="0028218F"/>
    <w:rsid w:val="00296DF3"/>
    <w:rsid w:val="00297865"/>
    <w:rsid w:val="002B7ABF"/>
    <w:rsid w:val="002C2504"/>
    <w:rsid w:val="002C7327"/>
    <w:rsid w:val="002D6E72"/>
    <w:rsid w:val="002E4166"/>
    <w:rsid w:val="002F0328"/>
    <w:rsid w:val="002F1DFF"/>
    <w:rsid w:val="002F6B52"/>
    <w:rsid w:val="00303A85"/>
    <w:rsid w:val="00305A54"/>
    <w:rsid w:val="003066D4"/>
    <w:rsid w:val="00321E43"/>
    <w:rsid w:val="003300C7"/>
    <w:rsid w:val="00341FD5"/>
    <w:rsid w:val="003500B9"/>
    <w:rsid w:val="00365984"/>
    <w:rsid w:val="00376CF3"/>
    <w:rsid w:val="00381B3E"/>
    <w:rsid w:val="00383F79"/>
    <w:rsid w:val="00393C4F"/>
    <w:rsid w:val="003A005A"/>
    <w:rsid w:val="003A3288"/>
    <w:rsid w:val="003A4119"/>
    <w:rsid w:val="003A5BF5"/>
    <w:rsid w:val="003B2B55"/>
    <w:rsid w:val="003D4779"/>
    <w:rsid w:val="003D4978"/>
    <w:rsid w:val="00404236"/>
    <w:rsid w:val="0041054A"/>
    <w:rsid w:val="00410EBB"/>
    <w:rsid w:val="00411F35"/>
    <w:rsid w:val="00416895"/>
    <w:rsid w:val="004168D9"/>
    <w:rsid w:val="00427BA7"/>
    <w:rsid w:val="00441CCB"/>
    <w:rsid w:val="00442690"/>
    <w:rsid w:val="00450942"/>
    <w:rsid w:val="00452A5A"/>
    <w:rsid w:val="00461992"/>
    <w:rsid w:val="00465C45"/>
    <w:rsid w:val="004920F6"/>
    <w:rsid w:val="00495B05"/>
    <w:rsid w:val="004A4D98"/>
    <w:rsid w:val="004A4E68"/>
    <w:rsid w:val="004A7336"/>
    <w:rsid w:val="004B3370"/>
    <w:rsid w:val="004D1BAE"/>
    <w:rsid w:val="004E09F3"/>
    <w:rsid w:val="004E179C"/>
    <w:rsid w:val="004E608F"/>
    <w:rsid w:val="00511D9C"/>
    <w:rsid w:val="0052345E"/>
    <w:rsid w:val="00525046"/>
    <w:rsid w:val="00530D8F"/>
    <w:rsid w:val="00557E52"/>
    <w:rsid w:val="00564D65"/>
    <w:rsid w:val="0058138D"/>
    <w:rsid w:val="00582A02"/>
    <w:rsid w:val="00584EE2"/>
    <w:rsid w:val="005D171B"/>
    <w:rsid w:val="005D272D"/>
    <w:rsid w:val="0060212A"/>
    <w:rsid w:val="00607D47"/>
    <w:rsid w:val="00612B19"/>
    <w:rsid w:val="0062150C"/>
    <w:rsid w:val="0062645A"/>
    <w:rsid w:val="00627B40"/>
    <w:rsid w:val="00667F5F"/>
    <w:rsid w:val="00675A16"/>
    <w:rsid w:val="00687B38"/>
    <w:rsid w:val="00687F1A"/>
    <w:rsid w:val="006909EE"/>
    <w:rsid w:val="00690E75"/>
    <w:rsid w:val="006A60FE"/>
    <w:rsid w:val="006C5171"/>
    <w:rsid w:val="006D7206"/>
    <w:rsid w:val="006E3237"/>
    <w:rsid w:val="006F7147"/>
    <w:rsid w:val="006F7E85"/>
    <w:rsid w:val="007074B1"/>
    <w:rsid w:val="00713E47"/>
    <w:rsid w:val="007167AB"/>
    <w:rsid w:val="00727B1A"/>
    <w:rsid w:val="0073192D"/>
    <w:rsid w:val="007403F0"/>
    <w:rsid w:val="00740967"/>
    <w:rsid w:val="00747B05"/>
    <w:rsid w:val="007503E4"/>
    <w:rsid w:val="0075408F"/>
    <w:rsid w:val="00761407"/>
    <w:rsid w:val="0078699D"/>
    <w:rsid w:val="007A2EC0"/>
    <w:rsid w:val="007A71F3"/>
    <w:rsid w:val="007A788D"/>
    <w:rsid w:val="007C405C"/>
    <w:rsid w:val="007C4BBD"/>
    <w:rsid w:val="007C6050"/>
    <w:rsid w:val="007D1717"/>
    <w:rsid w:val="007D4989"/>
    <w:rsid w:val="007D589A"/>
    <w:rsid w:val="007F2DFA"/>
    <w:rsid w:val="007F723A"/>
    <w:rsid w:val="00806BC9"/>
    <w:rsid w:val="00825808"/>
    <w:rsid w:val="008264B8"/>
    <w:rsid w:val="008316F5"/>
    <w:rsid w:val="00843D52"/>
    <w:rsid w:val="00845F26"/>
    <w:rsid w:val="00871A6B"/>
    <w:rsid w:val="008828A6"/>
    <w:rsid w:val="00894009"/>
    <w:rsid w:val="00897F8A"/>
    <w:rsid w:val="008A6164"/>
    <w:rsid w:val="008B4E69"/>
    <w:rsid w:val="008C393C"/>
    <w:rsid w:val="008D126D"/>
    <w:rsid w:val="008F1B9C"/>
    <w:rsid w:val="008F4313"/>
    <w:rsid w:val="008F7862"/>
    <w:rsid w:val="0090265C"/>
    <w:rsid w:val="0091216C"/>
    <w:rsid w:val="00912753"/>
    <w:rsid w:val="0092093A"/>
    <w:rsid w:val="00920B7C"/>
    <w:rsid w:val="0092181A"/>
    <w:rsid w:val="009262A0"/>
    <w:rsid w:val="009300C5"/>
    <w:rsid w:val="0093367D"/>
    <w:rsid w:val="009441EF"/>
    <w:rsid w:val="009452B6"/>
    <w:rsid w:val="00947A0F"/>
    <w:rsid w:val="00952765"/>
    <w:rsid w:val="00962D20"/>
    <w:rsid w:val="00965739"/>
    <w:rsid w:val="009874DD"/>
    <w:rsid w:val="009925FC"/>
    <w:rsid w:val="00992D89"/>
    <w:rsid w:val="009A1785"/>
    <w:rsid w:val="009B0891"/>
    <w:rsid w:val="009C152F"/>
    <w:rsid w:val="009C2423"/>
    <w:rsid w:val="009C3735"/>
    <w:rsid w:val="009D4903"/>
    <w:rsid w:val="009D5994"/>
    <w:rsid w:val="009F3622"/>
    <w:rsid w:val="009F3ABE"/>
    <w:rsid w:val="00A00AB6"/>
    <w:rsid w:val="00A064B1"/>
    <w:rsid w:val="00A27DC7"/>
    <w:rsid w:val="00A32A40"/>
    <w:rsid w:val="00A41136"/>
    <w:rsid w:val="00A42698"/>
    <w:rsid w:val="00A4589D"/>
    <w:rsid w:val="00A61744"/>
    <w:rsid w:val="00A75263"/>
    <w:rsid w:val="00A7658C"/>
    <w:rsid w:val="00A76A7A"/>
    <w:rsid w:val="00A80186"/>
    <w:rsid w:val="00A8402F"/>
    <w:rsid w:val="00A9353E"/>
    <w:rsid w:val="00A95C82"/>
    <w:rsid w:val="00AA6B49"/>
    <w:rsid w:val="00AB172A"/>
    <w:rsid w:val="00AB68E3"/>
    <w:rsid w:val="00AD073F"/>
    <w:rsid w:val="00AD366F"/>
    <w:rsid w:val="00AE7F03"/>
    <w:rsid w:val="00AF78BB"/>
    <w:rsid w:val="00B053D7"/>
    <w:rsid w:val="00B118A8"/>
    <w:rsid w:val="00B13641"/>
    <w:rsid w:val="00B25C2A"/>
    <w:rsid w:val="00B4354D"/>
    <w:rsid w:val="00B43654"/>
    <w:rsid w:val="00B53EBD"/>
    <w:rsid w:val="00B553CF"/>
    <w:rsid w:val="00B75505"/>
    <w:rsid w:val="00B8361D"/>
    <w:rsid w:val="00BA5794"/>
    <w:rsid w:val="00BB6A8B"/>
    <w:rsid w:val="00BC6B6F"/>
    <w:rsid w:val="00BC6B84"/>
    <w:rsid w:val="00BD0874"/>
    <w:rsid w:val="00BD6757"/>
    <w:rsid w:val="00BE0BC6"/>
    <w:rsid w:val="00BF56F8"/>
    <w:rsid w:val="00C06856"/>
    <w:rsid w:val="00C2125B"/>
    <w:rsid w:val="00C316E8"/>
    <w:rsid w:val="00C35371"/>
    <w:rsid w:val="00C434E8"/>
    <w:rsid w:val="00C51B32"/>
    <w:rsid w:val="00C52F8B"/>
    <w:rsid w:val="00C546C8"/>
    <w:rsid w:val="00C61F60"/>
    <w:rsid w:val="00C70727"/>
    <w:rsid w:val="00C822A6"/>
    <w:rsid w:val="00C87343"/>
    <w:rsid w:val="00C9111B"/>
    <w:rsid w:val="00C91F45"/>
    <w:rsid w:val="00C96CE3"/>
    <w:rsid w:val="00CB4964"/>
    <w:rsid w:val="00CB6D69"/>
    <w:rsid w:val="00CD5FAB"/>
    <w:rsid w:val="00CE5FD4"/>
    <w:rsid w:val="00CF27E0"/>
    <w:rsid w:val="00CF3E85"/>
    <w:rsid w:val="00CF641C"/>
    <w:rsid w:val="00CF74EC"/>
    <w:rsid w:val="00CF7C26"/>
    <w:rsid w:val="00D06D24"/>
    <w:rsid w:val="00D23BFC"/>
    <w:rsid w:val="00D37C61"/>
    <w:rsid w:val="00D435DA"/>
    <w:rsid w:val="00D707CE"/>
    <w:rsid w:val="00D743A5"/>
    <w:rsid w:val="00D748A9"/>
    <w:rsid w:val="00D7657A"/>
    <w:rsid w:val="00D768D6"/>
    <w:rsid w:val="00D821C3"/>
    <w:rsid w:val="00D87497"/>
    <w:rsid w:val="00D938CA"/>
    <w:rsid w:val="00D954A3"/>
    <w:rsid w:val="00DB426A"/>
    <w:rsid w:val="00DB6B80"/>
    <w:rsid w:val="00DC2268"/>
    <w:rsid w:val="00DD28A5"/>
    <w:rsid w:val="00DD48E2"/>
    <w:rsid w:val="00DD684C"/>
    <w:rsid w:val="00DE19EC"/>
    <w:rsid w:val="00DF125F"/>
    <w:rsid w:val="00DF30C7"/>
    <w:rsid w:val="00E02FFB"/>
    <w:rsid w:val="00E03302"/>
    <w:rsid w:val="00E036DB"/>
    <w:rsid w:val="00E353C3"/>
    <w:rsid w:val="00E67F21"/>
    <w:rsid w:val="00EA3713"/>
    <w:rsid w:val="00EC3052"/>
    <w:rsid w:val="00ED363A"/>
    <w:rsid w:val="00ED59AB"/>
    <w:rsid w:val="00EE280A"/>
    <w:rsid w:val="00EE36DB"/>
    <w:rsid w:val="00EF36C1"/>
    <w:rsid w:val="00EF6AB3"/>
    <w:rsid w:val="00F05BD4"/>
    <w:rsid w:val="00F238CC"/>
    <w:rsid w:val="00F24A06"/>
    <w:rsid w:val="00F36382"/>
    <w:rsid w:val="00F50A56"/>
    <w:rsid w:val="00F61489"/>
    <w:rsid w:val="00F652EE"/>
    <w:rsid w:val="00F727E6"/>
    <w:rsid w:val="00F73292"/>
    <w:rsid w:val="00F92424"/>
    <w:rsid w:val="00F9372A"/>
    <w:rsid w:val="00F94AD8"/>
    <w:rsid w:val="00FA5147"/>
    <w:rsid w:val="00FC1876"/>
    <w:rsid w:val="00FC689C"/>
    <w:rsid w:val="00FF22F8"/>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1E066"/>
  <w15:docId w15:val="{518D77DC-C831-4394-9F0F-30120BE3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D72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81235">
      <w:bodyDiv w:val="1"/>
      <w:marLeft w:val="0"/>
      <w:marRight w:val="0"/>
      <w:marTop w:val="0"/>
      <w:marBottom w:val="0"/>
      <w:divBdr>
        <w:top w:val="none" w:sz="0" w:space="0" w:color="auto"/>
        <w:left w:val="none" w:sz="0" w:space="0" w:color="auto"/>
        <w:bottom w:val="none" w:sz="0" w:space="0" w:color="auto"/>
        <w:right w:val="none" w:sz="0" w:space="0" w:color="auto"/>
      </w:divBdr>
    </w:div>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78EC-D52B-4A0F-BB02-42A759B0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5432</Words>
  <Characters>31209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36568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annette_s</dc:creator>
  <cp:keywords/>
  <dc:description/>
  <cp:lastModifiedBy>Laura Almond</cp:lastModifiedBy>
  <cp:revision>3</cp:revision>
  <cp:lastPrinted>2023-08-03T12:50:00Z</cp:lastPrinted>
  <dcterms:created xsi:type="dcterms:W3CDTF">2023-08-09T16:59:00Z</dcterms:created>
  <dcterms:modified xsi:type="dcterms:W3CDTF">2023-08-10T15:46:00Z</dcterms:modified>
</cp:coreProperties>
</file>