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C5E38" w14:textId="77777777" w:rsidR="00E57CAF" w:rsidRDefault="00E57CAF" w:rsidP="00E57CAF">
      <w:pPr>
        <w:autoSpaceDE/>
        <w:autoSpaceDN/>
        <w:jc w:val="center"/>
        <w:rPr>
          <w:rFonts w:ascii="Times New Roman" w:eastAsiaTheme="minorHAnsi" w:hAnsi="Times New Roman"/>
          <w:b/>
          <w:szCs w:val="24"/>
        </w:rPr>
      </w:pPr>
      <w:bookmarkStart w:id="0" w:name="TOC_Chap4"/>
    </w:p>
    <w:p w14:paraId="11D74205" w14:textId="77777777" w:rsidR="00E57CAF" w:rsidRDefault="00E57CAF" w:rsidP="00E57CAF">
      <w:pPr>
        <w:autoSpaceDE/>
        <w:autoSpaceDN/>
        <w:jc w:val="center"/>
        <w:rPr>
          <w:rFonts w:ascii="Times New Roman" w:eastAsiaTheme="minorHAnsi" w:hAnsi="Times New Roman"/>
          <w:b/>
          <w:szCs w:val="24"/>
        </w:rPr>
      </w:pPr>
    </w:p>
    <w:p w14:paraId="0A0C82BA" w14:textId="77777777" w:rsidR="00E57CAF" w:rsidRPr="00456A27" w:rsidRDefault="00E57CAF" w:rsidP="00E57CAF">
      <w:pPr>
        <w:autoSpaceDE/>
        <w:autoSpaceDN/>
        <w:jc w:val="center"/>
        <w:rPr>
          <w:rFonts w:ascii="Times New Roman" w:eastAsiaTheme="minorHAnsi" w:hAnsi="Times New Roman"/>
          <w:b/>
          <w:szCs w:val="24"/>
        </w:rPr>
      </w:pPr>
      <w:r w:rsidRPr="00456A27">
        <w:rPr>
          <w:rFonts w:ascii="Times New Roman" w:eastAsiaTheme="minorHAnsi" w:hAnsi="Times New Roman"/>
          <w:b/>
          <w:szCs w:val="24"/>
        </w:rPr>
        <w:t>Title 33</w:t>
      </w:r>
    </w:p>
    <w:p w14:paraId="1CFFC2EF" w14:textId="77777777" w:rsidR="00E57CAF" w:rsidRPr="00456A27" w:rsidRDefault="00E57CAF" w:rsidP="00E57CAF">
      <w:pPr>
        <w:autoSpaceDE/>
        <w:autoSpaceDN/>
        <w:jc w:val="center"/>
        <w:rPr>
          <w:rFonts w:ascii="Times New Roman" w:eastAsiaTheme="minorHAnsi" w:hAnsi="Times New Roman"/>
          <w:b/>
          <w:szCs w:val="24"/>
        </w:rPr>
      </w:pPr>
      <w:r w:rsidRPr="00456A27">
        <w:rPr>
          <w:rFonts w:ascii="Times New Roman" w:eastAsiaTheme="minorHAnsi" w:hAnsi="Times New Roman"/>
          <w:b/>
          <w:szCs w:val="24"/>
        </w:rPr>
        <w:t>Environmental Quality</w:t>
      </w:r>
    </w:p>
    <w:p w14:paraId="1AE6087E" w14:textId="77777777" w:rsidR="00E57CAF" w:rsidRPr="00456A27" w:rsidRDefault="00E57CAF" w:rsidP="00E57CAF">
      <w:pPr>
        <w:autoSpaceDE/>
        <w:autoSpaceDN/>
        <w:jc w:val="center"/>
        <w:rPr>
          <w:rFonts w:ascii="Times New Roman" w:eastAsiaTheme="minorHAnsi" w:hAnsi="Times New Roman"/>
          <w:b/>
          <w:szCs w:val="24"/>
        </w:rPr>
      </w:pPr>
      <w:r w:rsidRPr="00456A27">
        <w:rPr>
          <w:rFonts w:ascii="Times New Roman" w:eastAsiaTheme="minorHAnsi" w:hAnsi="Times New Roman"/>
          <w:b/>
          <w:szCs w:val="24"/>
        </w:rPr>
        <w:t>Part XI.  Underground Storage Tanks</w:t>
      </w:r>
    </w:p>
    <w:p w14:paraId="05E0900F" w14:textId="77777777" w:rsidR="00E57CAF" w:rsidRPr="00456A27" w:rsidRDefault="00E57CAF" w:rsidP="00E57CAF">
      <w:pPr>
        <w:autoSpaceDE/>
        <w:autoSpaceDN/>
        <w:rPr>
          <w:rFonts w:ascii="Times New Roman" w:eastAsiaTheme="minorHAnsi" w:hAnsi="Times New Roman"/>
          <w:szCs w:val="24"/>
        </w:rPr>
      </w:pPr>
    </w:p>
    <w:p w14:paraId="13035177" w14:textId="77777777" w:rsidR="00E57CAF" w:rsidRPr="00456A27" w:rsidRDefault="00E57CAF" w:rsidP="00E57CAF">
      <w:pPr>
        <w:autoSpaceDE/>
        <w:autoSpaceDN/>
        <w:spacing w:line="480" w:lineRule="auto"/>
        <w:rPr>
          <w:rFonts w:ascii="Times New Roman" w:eastAsiaTheme="minorHAnsi" w:hAnsi="Times New Roman"/>
          <w:b/>
          <w:szCs w:val="24"/>
          <w:u w:val="single"/>
        </w:rPr>
      </w:pPr>
      <w:r w:rsidRPr="00456A27">
        <w:rPr>
          <w:rFonts w:ascii="Times New Roman" w:eastAsiaTheme="minorHAnsi" w:hAnsi="Times New Roman"/>
          <w:b/>
          <w:szCs w:val="24"/>
          <w:u w:val="single"/>
        </w:rPr>
        <w:t>Chapter 14.</w:t>
      </w:r>
      <w:bookmarkEnd w:id="0"/>
      <w:r w:rsidRPr="00456A27">
        <w:rPr>
          <w:rFonts w:ascii="Times New Roman" w:eastAsiaTheme="minorHAnsi" w:hAnsi="Times New Roman"/>
          <w:b/>
          <w:szCs w:val="24"/>
          <w:u w:val="single"/>
        </w:rPr>
        <w:tab/>
        <w:t>Grant Program</w:t>
      </w:r>
    </w:p>
    <w:p w14:paraId="0158F6AF" w14:textId="77777777" w:rsidR="00E57CAF" w:rsidRPr="00456A27" w:rsidRDefault="00E57CAF" w:rsidP="00E57CAF">
      <w:pPr>
        <w:tabs>
          <w:tab w:val="left" w:pos="1080"/>
        </w:tabs>
        <w:autoSpaceDE/>
        <w:autoSpaceDN/>
        <w:spacing w:line="480" w:lineRule="auto"/>
        <w:rPr>
          <w:rFonts w:ascii="Times New Roman" w:eastAsiaTheme="minorHAnsi" w:hAnsi="Times New Roman"/>
          <w:b/>
          <w:szCs w:val="24"/>
          <w:u w:val="single"/>
        </w:rPr>
      </w:pPr>
      <w:bookmarkStart w:id="1" w:name="TOC_Sect155"/>
      <w:r w:rsidRPr="00456A27">
        <w:rPr>
          <w:rFonts w:ascii="Times New Roman" w:eastAsiaTheme="minorHAnsi" w:hAnsi="Times New Roman"/>
          <w:b/>
          <w:szCs w:val="24"/>
          <w:u w:val="single"/>
        </w:rPr>
        <w:t>§1401.</w:t>
      </w:r>
      <w:r w:rsidRPr="00456A27">
        <w:rPr>
          <w:rFonts w:ascii="Times New Roman" w:eastAsiaTheme="minorHAnsi" w:hAnsi="Times New Roman"/>
          <w:b/>
          <w:szCs w:val="24"/>
          <w:u w:val="single"/>
        </w:rPr>
        <w:tab/>
        <w:t>Purpose</w:t>
      </w:r>
      <w:bookmarkEnd w:id="1"/>
    </w:p>
    <w:p w14:paraId="4CFC50BE" w14:textId="77777777" w:rsidR="00E57CAF" w:rsidRPr="00456A27" w:rsidRDefault="00E57CAF" w:rsidP="00E57CAF">
      <w:pPr>
        <w:tabs>
          <w:tab w:val="left" w:pos="720"/>
        </w:tabs>
        <w:autoSpaceDE/>
        <w:autoSpaceDN/>
        <w:spacing w:line="480" w:lineRule="auto"/>
        <w:rPr>
          <w:rFonts w:ascii="Times New Roman" w:eastAsiaTheme="minorHAnsi" w:hAnsi="Times New Roman"/>
          <w:szCs w:val="24"/>
          <w:u w:val="single"/>
        </w:rPr>
      </w:pPr>
      <w:r w:rsidRPr="00456A27">
        <w:rPr>
          <w:rFonts w:ascii="Times New Roman" w:eastAsiaTheme="minorHAnsi" w:hAnsi="Times New Roman"/>
          <w:szCs w:val="24"/>
        </w:rPr>
        <w:tab/>
      </w:r>
      <w:r w:rsidRPr="00456A27">
        <w:rPr>
          <w:rFonts w:ascii="Times New Roman" w:eastAsiaTheme="minorHAnsi" w:hAnsi="Times New Roman"/>
          <w:szCs w:val="24"/>
          <w:u w:val="single"/>
        </w:rPr>
        <w:t>A.</w:t>
      </w:r>
      <w:r w:rsidRPr="00456A27">
        <w:rPr>
          <w:rFonts w:ascii="Times New Roman" w:eastAsiaTheme="minorHAnsi" w:hAnsi="Times New Roman"/>
          <w:szCs w:val="24"/>
          <w:u w:val="single"/>
        </w:rPr>
        <w:tab/>
        <w:t>The purpose of this Chapter is to establish procedures to provide for grants for upgrades and/or improvements to single wall underground storage tank systems.</w:t>
      </w:r>
    </w:p>
    <w:p w14:paraId="06B27992" w14:textId="77777777" w:rsidR="00E57CAF" w:rsidRPr="00456A27" w:rsidRDefault="00E57CAF" w:rsidP="00E57CAF">
      <w:pPr>
        <w:tabs>
          <w:tab w:val="left" w:pos="720"/>
        </w:tabs>
        <w:autoSpaceDE/>
        <w:autoSpaceDN/>
        <w:spacing w:line="480" w:lineRule="auto"/>
        <w:rPr>
          <w:rFonts w:ascii="Times New Roman" w:eastAsiaTheme="minorHAnsi" w:hAnsi="Times New Roman"/>
          <w:szCs w:val="24"/>
          <w:u w:val="single"/>
        </w:rPr>
      </w:pPr>
      <w:r w:rsidRPr="00456A27">
        <w:rPr>
          <w:rFonts w:ascii="Times New Roman" w:eastAsiaTheme="minorHAnsi" w:hAnsi="Times New Roman"/>
          <w:szCs w:val="24"/>
        </w:rPr>
        <w:tab/>
      </w:r>
      <w:r w:rsidRPr="00456A27">
        <w:rPr>
          <w:rFonts w:ascii="Times New Roman" w:eastAsiaTheme="minorHAnsi" w:hAnsi="Times New Roman"/>
          <w:szCs w:val="24"/>
          <w:u w:val="single"/>
        </w:rPr>
        <w:t>B.</w:t>
      </w:r>
      <w:r w:rsidRPr="00456A27">
        <w:rPr>
          <w:rFonts w:ascii="Times New Roman" w:eastAsiaTheme="minorHAnsi" w:hAnsi="Times New Roman"/>
          <w:szCs w:val="24"/>
          <w:u w:val="single"/>
        </w:rPr>
        <w:tab/>
        <w:t>The Motor Fuels Underground Storage Tank Trust Fund Advisory Board shall advise the secretary with regard to implementation of the tank trust account including investment of the trust and issuance of grants.</w:t>
      </w:r>
    </w:p>
    <w:p w14:paraId="07EE8E3D"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AUTHORITY NOTE:</w:t>
      </w:r>
      <w:r w:rsidRPr="00456A27">
        <w:rPr>
          <w:rFonts w:ascii="Times New Roman" w:eastAsiaTheme="minorHAnsi" w:hAnsi="Times New Roman"/>
          <w:szCs w:val="24"/>
        </w:rPr>
        <w:tab/>
        <w:t xml:space="preserve">Promulgated in accordance with R.S. </w:t>
      </w:r>
      <w:proofErr w:type="gramStart"/>
      <w:r w:rsidRPr="00456A27">
        <w:rPr>
          <w:rFonts w:ascii="Times New Roman" w:eastAsiaTheme="minorHAnsi" w:hAnsi="Times New Roman"/>
          <w:szCs w:val="24"/>
        </w:rPr>
        <w:t>30:2195.2.A(</w:t>
      </w:r>
      <w:proofErr w:type="gramEnd"/>
      <w:r w:rsidRPr="00456A27">
        <w:rPr>
          <w:rFonts w:ascii="Times New Roman" w:eastAsiaTheme="minorHAnsi" w:hAnsi="Times New Roman"/>
          <w:szCs w:val="24"/>
        </w:rPr>
        <w:t>6)(e).</w:t>
      </w:r>
    </w:p>
    <w:p w14:paraId="65D3767A"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HISTORICAL NOTE:</w:t>
      </w:r>
      <w:r w:rsidRPr="00456A27">
        <w:rPr>
          <w:rFonts w:ascii="Times New Roman" w:eastAsiaTheme="minorHAnsi" w:hAnsi="Times New Roman"/>
          <w:szCs w:val="24"/>
        </w:rPr>
        <w:tab/>
        <w:t>Promulgated by the Department of Environmental Quality, Office of the Secretary, Legal Affairs and Criminal Investigations Division, LR 49:</w:t>
      </w:r>
    </w:p>
    <w:p w14:paraId="7C75089F" w14:textId="77777777" w:rsidR="00E57CAF" w:rsidRPr="00456A27" w:rsidRDefault="00E57CAF" w:rsidP="00E57CAF">
      <w:pPr>
        <w:autoSpaceDE/>
        <w:autoSpaceDN/>
        <w:rPr>
          <w:rFonts w:ascii="Times New Roman" w:eastAsiaTheme="minorHAnsi" w:hAnsi="Times New Roman"/>
          <w:szCs w:val="24"/>
        </w:rPr>
      </w:pPr>
    </w:p>
    <w:p w14:paraId="30D8C7F4" w14:textId="77777777" w:rsidR="00E57CAF" w:rsidRPr="00456A27" w:rsidRDefault="00E57CAF" w:rsidP="00E57CAF">
      <w:pPr>
        <w:tabs>
          <w:tab w:val="left" w:pos="1080"/>
        </w:tabs>
        <w:autoSpaceDE/>
        <w:autoSpaceDN/>
        <w:spacing w:line="480" w:lineRule="auto"/>
        <w:rPr>
          <w:rFonts w:ascii="Times New Roman" w:eastAsiaTheme="minorHAnsi" w:hAnsi="Times New Roman"/>
          <w:b/>
          <w:szCs w:val="24"/>
          <w:u w:val="single"/>
        </w:rPr>
      </w:pPr>
      <w:bookmarkStart w:id="2" w:name="TOC_Sect156"/>
      <w:r w:rsidRPr="00456A27">
        <w:rPr>
          <w:rFonts w:ascii="Times New Roman" w:eastAsiaTheme="minorHAnsi" w:hAnsi="Times New Roman"/>
          <w:b/>
          <w:szCs w:val="24"/>
          <w:u w:val="single"/>
        </w:rPr>
        <w:t>§1403.</w:t>
      </w:r>
      <w:r w:rsidRPr="00456A27">
        <w:rPr>
          <w:rFonts w:ascii="Times New Roman" w:eastAsiaTheme="minorHAnsi" w:hAnsi="Times New Roman"/>
          <w:b/>
          <w:szCs w:val="24"/>
          <w:u w:val="single"/>
        </w:rPr>
        <w:tab/>
        <w:t>Applicability</w:t>
      </w:r>
      <w:bookmarkEnd w:id="2"/>
    </w:p>
    <w:p w14:paraId="077BAFCA" w14:textId="77777777" w:rsidR="00E57CAF" w:rsidRPr="00456A27" w:rsidRDefault="00E57CAF" w:rsidP="00E57CAF">
      <w:pPr>
        <w:tabs>
          <w:tab w:val="left" w:pos="720"/>
        </w:tabs>
        <w:autoSpaceDE/>
        <w:autoSpaceDN/>
        <w:spacing w:line="480" w:lineRule="auto"/>
        <w:rPr>
          <w:rFonts w:ascii="Times New Roman" w:eastAsiaTheme="minorHAnsi" w:hAnsi="Times New Roman"/>
          <w:szCs w:val="24"/>
          <w:u w:val="single"/>
        </w:rPr>
      </w:pPr>
      <w:r w:rsidRPr="00456A27">
        <w:rPr>
          <w:rFonts w:ascii="Times New Roman" w:eastAsiaTheme="minorHAnsi" w:hAnsi="Times New Roman"/>
          <w:szCs w:val="24"/>
        </w:rPr>
        <w:tab/>
      </w:r>
      <w:r w:rsidRPr="00456A27">
        <w:rPr>
          <w:rFonts w:ascii="Times New Roman" w:eastAsiaTheme="minorHAnsi" w:hAnsi="Times New Roman"/>
          <w:szCs w:val="24"/>
          <w:u w:val="single"/>
        </w:rPr>
        <w:t>A.</w:t>
      </w:r>
      <w:r w:rsidRPr="00456A27">
        <w:rPr>
          <w:rFonts w:ascii="Times New Roman" w:eastAsiaTheme="minorHAnsi" w:hAnsi="Times New Roman"/>
          <w:szCs w:val="24"/>
          <w:u w:val="single"/>
        </w:rPr>
        <w:tab/>
        <w:t>This Chapter applies to providing financial assistance to private persons, or entities, in financing the costs necessary for upgrading and/or improving single wall underground storage tank systems to the standards outlined in LAC 33:XI.303.</w:t>
      </w:r>
    </w:p>
    <w:p w14:paraId="2F138B30"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AUTHORITY NOTE:</w:t>
      </w:r>
      <w:r w:rsidRPr="00456A27">
        <w:rPr>
          <w:rFonts w:ascii="Times New Roman" w:eastAsiaTheme="minorHAnsi" w:hAnsi="Times New Roman"/>
          <w:szCs w:val="24"/>
        </w:rPr>
        <w:tab/>
        <w:t xml:space="preserve">Promulgated in accordance with R.S. </w:t>
      </w:r>
      <w:proofErr w:type="gramStart"/>
      <w:r w:rsidRPr="00456A27">
        <w:rPr>
          <w:rFonts w:ascii="Times New Roman" w:eastAsiaTheme="minorHAnsi" w:hAnsi="Times New Roman"/>
          <w:szCs w:val="24"/>
        </w:rPr>
        <w:t>30:2195.2.A(</w:t>
      </w:r>
      <w:proofErr w:type="gramEnd"/>
      <w:r w:rsidRPr="00456A27">
        <w:rPr>
          <w:rFonts w:ascii="Times New Roman" w:eastAsiaTheme="minorHAnsi" w:hAnsi="Times New Roman"/>
          <w:szCs w:val="24"/>
        </w:rPr>
        <w:t>6)(e).</w:t>
      </w:r>
    </w:p>
    <w:p w14:paraId="1BCF69C3"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HISTORICAL NOTE:</w:t>
      </w:r>
      <w:r w:rsidRPr="00456A27">
        <w:rPr>
          <w:rFonts w:ascii="Times New Roman" w:eastAsiaTheme="minorHAnsi" w:hAnsi="Times New Roman"/>
          <w:szCs w:val="24"/>
        </w:rPr>
        <w:tab/>
        <w:t>Promulgated by the Department of Environmental Quality, Office of the Secretary, Legal Affairs and Criminal Investigations Division, LR 49:</w:t>
      </w:r>
    </w:p>
    <w:p w14:paraId="7F190F97" w14:textId="77777777" w:rsidR="00E57CAF" w:rsidRPr="00456A27" w:rsidRDefault="00E57CAF" w:rsidP="00E57CAF">
      <w:pPr>
        <w:autoSpaceDE/>
        <w:autoSpaceDN/>
        <w:rPr>
          <w:rFonts w:ascii="Times New Roman" w:eastAsiaTheme="minorHAnsi" w:hAnsi="Times New Roman"/>
          <w:szCs w:val="24"/>
        </w:rPr>
      </w:pPr>
    </w:p>
    <w:p w14:paraId="7F780512" w14:textId="77777777" w:rsidR="00E57CAF" w:rsidRPr="00456A27" w:rsidRDefault="00E57CAF" w:rsidP="00E57CAF">
      <w:pPr>
        <w:tabs>
          <w:tab w:val="left" w:pos="1080"/>
        </w:tabs>
        <w:autoSpaceDE/>
        <w:autoSpaceDN/>
        <w:spacing w:line="480" w:lineRule="auto"/>
        <w:rPr>
          <w:rFonts w:ascii="Times New Roman" w:eastAsiaTheme="minorHAnsi" w:hAnsi="Times New Roman"/>
          <w:b/>
          <w:szCs w:val="24"/>
          <w:u w:val="single"/>
        </w:rPr>
      </w:pPr>
      <w:bookmarkStart w:id="3" w:name="TOC_Sect157"/>
      <w:r w:rsidRPr="00456A27">
        <w:rPr>
          <w:rFonts w:ascii="Times New Roman" w:eastAsiaTheme="minorHAnsi" w:hAnsi="Times New Roman"/>
          <w:b/>
          <w:szCs w:val="24"/>
          <w:u w:val="single"/>
        </w:rPr>
        <w:t>§1405.</w:t>
      </w:r>
      <w:r w:rsidRPr="00456A27">
        <w:rPr>
          <w:rFonts w:ascii="Times New Roman" w:eastAsiaTheme="minorHAnsi" w:hAnsi="Times New Roman"/>
          <w:b/>
          <w:szCs w:val="24"/>
          <w:u w:val="single"/>
        </w:rPr>
        <w:tab/>
        <w:t>Effective Date</w:t>
      </w:r>
      <w:bookmarkEnd w:id="3"/>
    </w:p>
    <w:p w14:paraId="3A676F10"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t>A.</w:t>
      </w:r>
      <w:r w:rsidRPr="00456A27">
        <w:rPr>
          <w:rFonts w:ascii="Times New Roman" w:eastAsiaTheme="minorHAnsi" w:hAnsi="Times New Roman"/>
          <w:szCs w:val="24"/>
          <w:u w:val="single"/>
        </w:rPr>
        <w:tab/>
        <w:t>These regulations are effective January 1, 2024. These regulations are only applicable to grant applications that occur on or after January 1, 2024.</w:t>
      </w:r>
    </w:p>
    <w:p w14:paraId="2D1C8577"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AUTHORITY NOTE:</w:t>
      </w:r>
      <w:r w:rsidRPr="00456A27">
        <w:rPr>
          <w:rFonts w:ascii="Times New Roman" w:eastAsiaTheme="minorHAnsi" w:hAnsi="Times New Roman"/>
          <w:szCs w:val="24"/>
        </w:rPr>
        <w:tab/>
        <w:t xml:space="preserve">Promulgated in accordance with R.S. </w:t>
      </w:r>
      <w:proofErr w:type="gramStart"/>
      <w:r w:rsidRPr="00456A27">
        <w:rPr>
          <w:rFonts w:ascii="Times New Roman" w:eastAsiaTheme="minorHAnsi" w:hAnsi="Times New Roman"/>
          <w:szCs w:val="24"/>
        </w:rPr>
        <w:t>30:2195.2.A(</w:t>
      </w:r>
      <w:proofErr w:type="gramEnd"/>
      <w:r w:rsidRPr="00456A27">
        <w:rPr>
          <w:rFonts w:ascii="Times New Roman" w:eastAsiaTheme="minorHAnsi" w:hAnsi="Times New Roman"/>
          <w:szCs w:val="24"/>
        </w:rPr>
        <w:t>6)(e).</w:t>
      </w:r>
    </w:p>
    <w:p w14:paraId="3A38F91A"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HISTORICAL NOTE:</w:t>
      </w:r>
      <w:r w:rsidRPr="00456A27">
        <w:rPr>
          <w:rFonts w:ascii="Times New Roman" w:eastAsiaTheme="minorHAnsi" w:hAnsi="Times New Roman"/>
          <w:szCs w:val="24"/>
        </w:rPr>
        <w:tab/>
        <w:t>Promulgated by the Department of Environmental Quality, Office of the Secretary, Legal Affairs and Criminal Investigations Division, LR 49:</w:t>
      </w:r>
    </w:p>
    <w:p w14:paraId="36B9303D" w14:textId="77777777" w:rsidR="00E57CAF" w:rsidRPr="00456A27" w:rsidRDefault="00E57CAF" w:rsidP="00E57CAF">
      <w:pPr>
        <w:autoSpaceDE/>
        <w:autoSpaceDN/>
        <w:rPr>
          <w:rFonts w:ascii="Times New Roman" w:eastAsiaTheme="minorHAnsi" w:hAnsi="Times New Roman"/>
          <w:szCs w:val="24"/>
        </w:rPr>
      </w:pPr>
    </w:p>
    <w:p w14:paraId="797C6D2C" w14:textId="77777777" w:rsidR="00E57CAF" w:rsidRPr="00456A27" w:rsidRDefault="00E57CAF" w:rsidP="00E57CAF">
      <w:pPr>
        <w:tabs>
          <w:tab w:val="left" w:pos="1080"/>
        </w:tabs>
        <w:autoSpaceDE/>
        <w:autoSpaceDN/>
        <w:spacing w:line="480" w:lineRule="auto"/>
        <w:rPr>
          <w:rFonts w:ascii="Times New Roman" w:eastAsiaTheme="minorHAnsi" w:hAnsi="Times New Roman"/>
          <w:b/>
          <w:szCs w:val="24"/>
          <w:u w:val="single"/>
        </w:rPr>
      </w:pPr>
      <w:bookmarkStart w:id="4" w:name="TOC_Sect88"/>
      <w:r w:rsidRPr="00456A27">
        <w:rPr>
          <w:rFonts w:ascii="Times New Roman" w:eastAsiaTheme="minorHAnsi" w:hAnsi="Times New Roman"/>
          <w:b/>
          <w:szCs w:val="24"/>
          <w:u w:val="single"/>
        </w:rPr>
        <w:t>§1407.</w:t>
      </w:r>
      <w:r w:rsidRPr="00456A27">
        <w:rPr>
          <w:rFonts w:ascii="Times New Roman" w:eastAsiaTheme="minorHAnsi" w:hAnsi="Times New Roman"/>
          <w:b/>
          <w:szCs w:val="24"/>
          <w:u w:val="single"/>
        </w:rPr>
        <w:tab/>
        <w:t>Definitions</w:t>
      </w:r>
      <w:bookmarkEnd w:id="4"/>
    </w:p>
    <w:p w14:paraId="35752918"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lastRenderedPageBreak/>
        <w:t>A.</w:t>
      </w:r>
      <w:r w:rsidRPr="00456A27">
        <w:rPr>
          <w:rFonts w:ascii="Times New Roman" w:eastAsiaTheme="minorHAnsi" w:hAnsi="Times New Roman"/>
          <w:szCs w:val="24"/>
          <w:u w:val="single"/>
        </w:rPr>
        <w:tab/>
        <w:t>The following terms used in this Chapter shall have the meanings listed below and shall only apply to this Chapter, unless the context otherwise requires, or unless specifically redefined in a particular Section.</w:t>
      </w:r>
    </w:p>
    <w:p w14:paraId="6AB65E26" w14:textId="77777777" w:rsidR="00E57CAF" w:rsidRPr="00456A27" w:rsidRDefault="00E57CAF" w:rsidP="00E57CAF">
      <w:pPr>
        <w:autoSpaceDE/>
        <w:autoSpaceDN/>
        <w:spacing w:line="480" w:lineRule="auto"/>
        <w:ind w:firstLine="1440"/>
        <w:rPr>
          <w:rFonts w:ascii="Times New Roman" w:eastAsiaTheme="minorHAnsi" w:hAnsi="Times New Roman"/>
          <w:szCs w:val="24"/>
          <w:u w:val="single"/>
        </w:rPr>
      </w:pPr>
      <w:r w:rsidRPr="00456A27">
        <w:rPr>
          <w:rFonts w:ascii="Times New Roman" w:eastAsiaTheme="minorHAnsi" w:hAnsi="Times New Roman"/>
          <w:i/>
          <w:szCs w:val="24"/>
          <w:u w:val="single"/>
        </w:rPr>
        <w:t>Applicant</w:t>
      </w:r>
      <w:r w:rsidRPr="00456A27">
        <w:rPr>
          <w:rFonts w:ascii="Times New Roman" w:eastAsiaTheme="minorHAnsi" w:hAnsi="Times New Roman"/>
          <w:szCs w:val="24"/>
          <w:u w:val="single"/>
        </w:rPr>
        <w:t>—the legal underground storage tank (UST) owner (i.e., private person or private entity) at the project facility.</w:t>
      </w:r>
    </w:p>
    <w:p w14:paraId="7146CF3D" w14:textId="77777777" w:rsidR="00E57CAF" w:rsidRPr="00456A27" w:rsidRDefault="00E57CAF" w:rsidP="00E57CAF">
      <w:pPr>
        <w:autoSpaceDE/>
        <w:autoSpaceDN/>
        <w:spacing w:line="480" w:lineRule="auto"/>
        <w:ind w:firstLine="1440"/>
        <w:rPr>
          <w:rFonts w:ascii="Times New Roman" w:eastAsiaTheme="minorHAnsi" w:hAnsi="Times New Roman"/>
          <w:szCs w:val="24"/>
          <w:u w:val="single"/>
        </w:rPr>
      </w:pPr>
      <w:r w:rsidRPr="00456A27">
        <w:rPr>
          <w:rFonts w:ascii="Times New Roman" w:eastAsiaTheme="minorHAnsi" w:hAnsi="Times New Roman"/>
          <w:i/>
          <w:szCs w:val="24"/>
          <w:u w:val="single"/>
        </w:rPr>
        <w:t>Domiciled</w:t>
      </w:r>
      <w:r w:rsidRPr="00456A27">
        <w:rPr>
          <w:rFonts w:ascii="Times New Roman" w:eastAsiaTheme="minorHAnsi" w:hAnsi="Times New Roman"/>
          <w:szCs w:val="24"/>
          <w:u w:val="single"/>
        </w:rPr>
        <w:t>—the place of a private person’s habitual residence; a private person may reside in several places, but may not have more than one domicile. The domicile of a private entity may be either the state of its formation or the state of its principal place of business.</w:t>
      </w:r>
    </w:p>
    <w:p w14:paraId="44894588" w14:textId="77777777" w:rsidR="00E57CAF" w:rsidRPr="00456A27" w:rsidRDefault="00E57CAF" w:rsidP="00E57CAF">
      <w:pPr>
        <w:autoSpaceDE/>
        <w:autoSpaceDN/>
        <w:spacing w:line="480" w:lineRule="auto"/>
        <w:ind w:firstLine="1440"/>
        <w:rPr>
          <w:rFonts w:ascii="Times New Roman" w:eastAsiaTheme="minorHAnsi" w:hAnsi="Times New Roman"/>
          <w:szCs w:val="24"/>
          <w:u w:val="single"/>
        </w:rPr>
      </w:pPr>
      <w:r w:rsidRPr="00456A27">
        <w:rPr>
          <w:rFonts w:ascii="Times New Roman" w:eastAsiaTheme="minorHAnsi" w:hAnsi="Times New Roman"/>
          <w:i/>
          <w:szCs w:val="24"/>
          <w:u w:val="single"/>
        </w:rPr>
        <w:t>Improvement</w:t>
      </w:r>
      <w:r w:rsidRPr="00456A27">
        <w:rPr>
          <w:rFonts w:ascii="Times New Roman" w:eastAsiaTheme="minorHAnsi" w:hAnsi="Times New Roman"/>
          <w:szCs w:val="24"/>
          <w:u w:val="single"/>
        </w:rPr>
        <w:t>—to replace existing single wall underground storage tanks (USTs) with double wall USTs and/or replace existing single wall product piping with double wall product piping. Containment and ancillary equipment such as submersible turbine pumps (STP), STP sumps, under dispenser containment (UDC) sumps, UST monitors and sensors, fill ports, shear valves, flex lines, and spill/overfill prevention equipment may be included for reimbursement only when upgrading and/or improving existing single wall USTs and/or single wall product piping.</w:t>
      </w:r>
    </w:p>
    <w:p w14:paraId="613D3B4F" w14:textId="77777777" w:rsidR="00E57CAF" w:rsidRPr="00456A27" w:rsidRDefault="00E57CAF" w:rsidP="00E57CAF">
      <w:pPr>
        <w:autoSpaceDE/>
        <w:autoSpaceDN/>
        <w:spacing w:line="480" w:lineRule="auto"/>
        <w:ind w:firstLine="1440"/>
        <w:rPr>
          <w:rFonts w:ascii="Times New Roman" w:eastAsiaTheme="minorHAnsi" w:hAnsi="Times New Roman"/>
          <w:szCs w:val="24"/>
          <w:u w:val="single"/>
        </w:rPr>
      </w:pPr>
      <w:r w:rsidRPr="00456A27">
        <w:rPr>
          <w:rFonts w:ascii="Times New Roman" w:eastAsiaTheme="minorHAnsi" w:hAnsi="Times New Roman"/>
          <w:i/>
          <w:szCs w:val="24"/>
          <w:u w:val="single"/>
        </w:rPr>
        <w:t>Private Entity</w:t>
      </w:r>
      <w:r w:rsidRPr="00456A27">
        <w:rPr>
          <w:rFonts w:ascii="Times New Roman" w:eastAsiaTheme="minorHAnsi" w:hAnsi="Times New Roman"/>
          <w:szCs w:val="24"/>
          <w:u w:val="single"/>
        </w:rPr>
        <w:t>—a nonpublic juridical entity to which the law attributes personality, e.g., a corporation or a partnership. The personality of an entity is distinct from that of its members.</w:t>
      </w:r>
    </w:p>
    <w:p w14:paraId="05193BCA" w14:textId="77777777" w:rsidR="00E57CAF" w:rsidRPr="00456A27" w:rsidRDefault="00E57CAF" w:rsidP="00E57CAF">
      <w:pPr>
        <w:autoSpaceDE/>
        <w:autoSpaceDN/>
        <w:spacing w:line="480" w:lineRule="auto"/>
        <w:ind w:firstLine="1440"/>
        <w:rPr>
          <w:rFonts w:ascii="Times New Roman" w:eastAsiaTheme="minorHAnsi" w:hAnsi="Times New Roman"/>
          <w:szCs w:val="24"/>
          <w:u w:val="single"/>
        </w:rPr>
      </w:pPr>
      <w:r w:rsidRPr="00456A27">
        <w:rPr>
          <w:rFonts w:ascii="Times New Roman" w:eastAsiaTheme="minorHAnsi" w:hAnsi="Times New Roman"/>
          <w:i/>
          <w:szCs w:val="24"/>
          <w:u w:val="single"/>
        </w:rPr>
        <w:t>Private Person</w:t>
      </w:r>
      <w:r w:rsidRPr="00456A27">
        <w:rPr>
          <w:rFonts w:ascii="Times New Roman" w:eastAsiaTheme="minorHAnsi" w:hAnsi="Times New Roman"/>
          <w:szCs w:val="24"/>
          <w:u w:val="single"/>
        </w:rPr>
        <w:t>—a natural person or human being.</w:t>
      </w:r>
    </w:p>
    <w:p w14:paraId="3417720D" w14:textId="77777777" w:rsidR="00E57CAF" w:rsidRPr="00456A27" w:rsidRDefault="00E57CAF" w:rsidP="00E57CAF">
      <w:pPr>
        <w:autoSpaceDE/>
        <w:autoSpaceDN/>
        <w:spacing w:line="480" w:lineRule="auto"/>
        <w:ind w:firstLine="1440"/>
        <w:rPr>
          <w:rFonts w:ascii="Times New Roman" w:eastAsiaTheme="minorHAnsi" w:hAnsi="Times New Roman"/>
          <w:szCs w:val="24"/>
        </w:rPr>
      </w:pPr>
      <w:r w:rsidRPr="00456A27">
        <w:rPr>
          <w:rFonts w:ascii="Times New Roman" w:eastAsiaTheme="minorHAnsi" w:hAnsi="Times New Roman"/>
          <w:i/>
          <w:szCs w:val="24"/>
          <w:u w:val="single"/>
        </w:rPr>
        <w:t>Project Facility</w:t>
      </w:r>
      <w:r w:rsidRPr="00456A27">
        <w:rPr>
          <w:rFonts w:ascii="Times New Roman" w:eastAsiaTheme="minorHAnsi" w:hAnsi="Times New Roman"/>
          <w:szCs w:val="24"/>
          <w:u w:val="single"/>
        </w:rPr>
        <w:t>—a single, specific facility where the grant will be applied for the approved upgrades and/or improvements to single wall underground storage tank systems.</w:t>
      </w:r>
    </w:p>
    <w:p w14:paraId="027F2302" w14:textId="77777777" w:rsidR="00E57CAF" w:rsidRPr="00456A27" w:rsidRDefault="00E57CAF" w:rsidP="00E57CAF">
      <w:pPr>
        <w:tabs>
          <w:tab w:val="left" w:pos="288"/>
        </w:tabs>
        <w:autoSpaceDE/>
        <w:autoSpaceDN/>
        <w:rPr>
          <w:rFonts w:ascii="Times New Roman" w:eastAsiaTheme="minorHAnsi" w:hAnsi="Times New Roman"/>
          <w:szCs w:val="24"/>
        </w:rPr>
      </w:pPr>
      <w:bookmarkStart w:id="5" w:name="OLE_LINK7"/>
      <w:bookmarkStart w:id="6" w:name="OLE_LINK8"/>
      <w:r w:rsidRPr="00456A27">
        <w:rPr>
          <w:rFonts w:ascii="Times New Roman" w:eastAsiaTheme="minorHAnsi" w:hAnsi="Times New Roman"/>
          <w:szCs w:val="24"/>
        </w:rPr>
        <w:tab/>
        <w:t>AUTHORITY NOTE:</w:t>
      </w:r>
      <w:r w:rsidRPr="00456A27">
        <w:rPr>
          <w:rFonts w:ascii="Times New Roman" w:eastAsiaTheme="minorHAnsi" w:hAnsi="Times New Roman"/>
          <w:szCs w:val="24"/>
        </w:rPr>
        <w:tab/>
        <w:t xml:space="preserve">Promulgated in accordance with R.S. </w:t>
      </w:r>
      <w:proofErr w:type="gramStart"/>
      <w:r w:rsidRPr="00456A27">
        <w:rPr>
          <w:rFonts w:ascii="Times New Roman" w:eastAsiaTheme="minorHAnsi" w:hAnsi="Times New Roman"/>
          <w:szCs w:val="24"/>
        </w:rPr>
        <w:t>30:2195.2.A(</w:t>
      </w:r>
      <w:proofErr w:type="gramEnd"/>
      <w:r w:rsidRPr="00456A27">
        <w:rPr>
          <w:rFonts w:ascii="Times New Roman" w:eastAsiaTheme="minorHAnsi" w:hAnsi="Times New Roman"/>
          <w:szCs w:val="24"/>
        </w:rPr>
        <w:t>6)(e).</w:t>
      </w:r>
    </w:p>
    <w:p w14:paraId="626EC5BD"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HISTORICAL NOTE:</w:t>
      </w:r>
      <w:r w:rsidRPr="00456A27">
        <w:rPr>
          <w:rFonts w:ascii="Times New Roman" w:eastAsiaTheme="minorHAnsi" w:hAnsi="Times New Roman"/>
          <w:szCs w:val="24"/>
        </w:rPr>
        <w:tab/>
        <w:t>Promulgated by the Department of Environmental Quality, Office of the Secretary, Legal Affairs and Criminal Investigations Division, LR 49:</w:t>
      </w:r>
    </w:p>
    <w:p w14:paraId="4EA4BE7A" w14:textId="77777777" w:rsidR="00E57CAF" w:rsidRPr="00456A27" w:rsidRDefault="00E57CAF" w:rsidP="00E57CAF">
      <w:pPr>
        <w:autoSpaceDE/>
        <w:autoSpaceDN/>
        <w:rPr>
          <w:rFonts w:ascii="Times New Roman" w:eastAsiaTheme="minorHAnsi" w:hAnsi="Times New Roman"/>
          <w:szCs w:val="24"/>
        </w:rPr>
      </w:pPr>
    </w:p>
    <w:p w14:paraId="212C1E7F" w14:textId="77777777" w:rsidR="00E57CAF" w:rsidRPr="00456A27" w:rsidRDefault="00E57CAF" w:rsidP="00E57CAF">
      <w:pPr>
        <w:tabs>
          <w:tab w:val="left" w:pos="1080"/>
        </w:tabs>
        <w:autoSpaceDE/>
        <w:autoSpaceDN/>
        <w:spacing w:line="480" w:lineRule="auto"/>
        <w:rPr>
          <w:rFonts w:ascii="Times New Roman" w:eastAsiaTheme="minorHAnsi" w:hAnsi="Times New Roman"/>
          <w:b/>
          <w:szCs w:val="24"/>
          <w:u w:val="single"/>
        </w:rPr>
      </w:pPr>
      <w:r w:rsidRPr="00456A27">
        <w:rPr>
          <w:rFonts w:ascii="Times New Roman" w:eastAsiaTheme="minorHAnsi" w:hAnsi="Times New Roman"/>
          <w:b/>
          <w:szCs w:val="24"/>
          <w:u w:val="single"/>
        </w:rPr>
        <w:t>§1409.</w:t>
      </w:r>
      <w:r w:rsidRPr="00456A27">
        <w:rPr>
          <w:rFonts w:ascii="Times New Roman" w:eastAsiaTheme="minorHAnsi" w:hAnsi="Times New Roman"/>
          <w:b/>
          <w:szCs w:val="24"/>
          <w:u w:val="single"/>
        </w:rPr>
        <w:tab/>
        <w:t>Grant Program Funding and Requirements</w:t>
      </w:r>
    </w:p>
    <w:p w14:paraId="349AAF40"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lastRenderedPageBreak/>
        <w:t>A.</w:t>
      </w:r>
      <w:r w:rsidRPr="00456A27">
        <w:rPr>
          <w:rFonts w:ascii="Times New Roman" w:eastAsiaTheme="minorHAnsi" w:hAnsi="Times New Roman"/>
          <w:szCs w:val="24"/>
          <w:u w:val="single"/>
        </w:rPr>
        <w:tab/>
        <w:t>This grant program is funded by the cost recovery efforts and interest earned on the tank trust account (interest account) in accordance with R.S. 30:2195.2.</w:t>
      </w:r>
    </w:p>
    <w:p w14:paraId="2D41FE2C"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t>B.</w:t>
      </w:r>
      <w:r w:rsidRPr="00456A27">
        <w:rPr>
          <w:rFonts w:ascii="Times New Roman" w:eastAsiaTheme="minorHAnsi" w:hAnsi="Times New Roman"/>
          <w:szCs w:val="24"/>
          <w:u w:val="single"/>
        </w:rPr>
        <w:tab/>
        <w:t xml:space="preserve">A grant </w:t>
      </w:r>
      <w:proofErr w:type="gramStart"/>
      <w:r w:rsidRPr="00456A27">
        <w:rPr>
          <w:rFonts w:ascii="Times New Roman" w:eastAsiaTheme="minorHAnsi" w:hAnsi="Times New Roman"/>
          <w:szCs w:val="24"/>
          <w:u w:val="single"/>
        </w:rPr>
        <w:t>may only be made</w:t>
      </w:r>
      <w:proofErr w:type="gramEnd"/>
      <w:r w:rsidRPr="00456A27">
        <w:rPr>
          <w:rFonts w:ascii="Times New Roman" w:eastAsiaTheme="minorHAnsi" w:hAnsi="Times New Roman"/>
          <w:szCs w:val="24"/>
          <w:u w:val="single"/>
        </w:rPr>
        <w:t xml:space="preserve"> pursuant to this Chapter if all of the following apply:</w:t>
      </w:r>
    </w:p>
    <w:p w14:paraId="57C0A23E" w14:textId="77777777" w:rsidR="00E57CAF" w:rsidRPr="00456A27" w:rsidRDefault="00E57CAF" w:rsidP="00E57CAF">
      <w:pPr>
        <w:autoSpaceDE/>
        <w:autoSpaceDN/>
        <w:spacing w:line="480" w:lineRule="auto"/>
        <w:ind w:left="720" w:firstLine="720"/>
        <w:rPr>
          <w:rFonts w:ascii="Times New Roman" w:eastAsiaTheme="minorHAnsi" w:hAnsi="Times New Roman"/>
          <w:szCs w:val="24"/>
          <w:u w:val="single"/>
        </w:rPr>
      </w:pPr>
      <w:r w:rsidRPr="00456A27">
        <w:rPr>
          <w:rFonts w:ascii="Times New Roman" w:eastAsiaTheme="minorHAnsi" w:hAnsi="Times New Roman"/>
          <w:szCs w:val="24"/>
          <w:u w:val="single"/>
        </w:rPr>
        <w:t>1.</w:t>
      </w:r>
      <w:r w:rsidRPr="00456A27">
        <w:rPr>
          <w:rFonts w:ascii="Times New Roman" w:eastAsiaTheme="minorHAnsi" w:hAnsi="Times New Roman"/>
          <w:szCs w:val="24"/>
          <w:u w:val="single"/>
        </w:rPr>
        <w:tab/>
      </w:r>
      <w:proofErr w:type="gramStart"/>
      <w:r w:rsidRPr="00456A27">
        <w:rPr>
          <w:rFonts w:ascii="Times New Roman" w:eastAsiaTheme="minorHAnsi" w:hAnsi="Times New Roman"/>
          <w:szCs w:val="24"/>
          <w:u w:val="single"/>
        </w:rPr>
        <w:t>the</w:t>
      </w:r>
      <w:proofErr w:type="gramEnd"/>
      <w:r w:rsidRPr="00456A27">
        <w:rPr>
          <w:rFonts w:ascii="Times New Roman" w:eastAsiaTheme="minorHAnsi" w:hAnsi="Times New Roman"/>
          <w:szCs w:val="24"/>
          <w:u w:val="single"/>
        </w:rPr>
        <w:t xml:space="preserve"> applicant is domiciled in Louisiana;</w:t>
      </w:r>
    </w:p>
    <w:p w14:paraId="141D1093" w14:textId="77777777" w:rsidR="00E57CAF" w:rsidRPr="00456A27" w:rsidRDefault="00E57CAF" w:rsidP="00E57CAF">
      <w:pPr>
        <w:autoSpaceDE/>
        <w:autoSpaceDN/>
        <w:spacing w:line="480" w:lineRule="auto"/>
        <w:ind w:firstLine="1440"/>
        <w:rPr>
          <w:rFonts w:ascii="Times New Roman" w:eastAsiaTheme="minorHAnsi" w:hAnsi="Times New Roman"/>
          <w:szCs w:val="24"/>
          <w:u w:val="single"/>
        </w:rPr>
      </w:pPr>
      <w:r w:rsidRPr="00456A27">
        <w:rPr>
          <w:rFonts w:ascii="Times New Roman" w:eastAsiaTheme="minorHAnsi" w:hAnsi="Times New Roman"/>
          <w:szCs w:val="24"/>
          <w:u w:val="single"/>
        </w:rPr>
        <w:t>2.</w:t>
      </w:r>
      <w:r w:rsidRPr="00456A27">
        <w:rPr>
          <w:rFonts w:ascii="Times New Roman" w:eastAsiaTheme="minorHAnsi" w:hAnsi="Times New Roman"/>
          <w:szCs w:val="24"/>
          <w:u w:val="single"/>
        </w:rPr>
        <w:tab/>
      </w:r>
      <w:proofErr w:type="gramStart"/>
      <w:r w:rsidRPr="00456A27">
        <w:rPr>
          <w:rFonts w:ascii="Times New Roman" w:eastAsiaTheme="minorHAnsi" w:hAnsi="Times New Roman"/>
          <w:szCs w:val="24"/>
          <w:u w:val="single"/>
        </w:rPr>
        <w:t>the</w:t>
      </w:r>
      <w:proofErr w:type="gramEnd"/>
      <w:r w:rsidRPr="00456A27">
        <w:rPr>
          <w:rFonts w:ascii="Times New Roman" w:eastAsiaTheme="minorHAnsi" w:hAnsi="Times New Roman"/>
          <w:szCs w:val="24"/>
          <w:u w:val="single"/>
        </w:rPr>
        <w:t xml:space="preserve"> site is registered with the department as a single wall underground storage tank system; and</w:t>
      </w:r>
    </w:p>
    <w:p w14:paraId="3A118808" w14:textId="77777777" w:rsidR="00E57CAF" w:rsidRPr="00456A27" w:rsidRDefault="00E57CAF" w:rsidP="00E57CAF">
      <w:pPr>
        <w:autoSpaceDE/>
        <w:autoSpaceDN/>
        <w:spacing w:line="480" w:lineRule="auto"/>
        <w:ind w:firstLine="1440"/>
        <w:rPr>
          <w:rFonts w:ascii="Times New Roman" w:eastAsiaTheme="minorHAnsi" w:hAnsi="Times New Roman"/>
          <w:szCs w:val="24"/>
          <w:u w:val="single"/>
        </w:rPr>
      </w:pPr>
      <w:r w:rsidRPr="00456A27">
        <w:rPr>
          <w:rFonts w:ascii="Times New Roman" w:eastAsiaTheme="minorHAnsi" w:hAnsi="Times New Roman"/>
          <w:szCs w:val="24"/>
          <w:u w:val="single"/>
        </w:rPr>
        <w:t>3.</w:t>
      </w:r>
      <w:r w:rsidRPr="00456A27">
        <w:rPr>
          <w:rFonts w:ascii="Times New Roman" w:eastAsiaTheme="minorHAnsi" w:hAnsi="Times New Roman"/>
          <w:szCs w:val="24"/>
          <w:u w:val="single"/>
        </w:rPr>
        <w:tab/>
      </w:r>
      <w:proofErr w:type="gramStart"/>
      <w:r w:rsidRPr="00456A27">
        <w:rPr>
          <w:rFonts w:ascii="Times New Roman" w:eastAsiaTheme="minorHAnsi" w:hAnsi="Times New Roman"/>
          <w:szCs w:val="24"/>
          <w:u w:val="single"/>
        </w:rPr>
        <w:t>the</w:t>
      </w:r>
      <w:proofErr w:type="gramEnd"/>
      <w:r w:rsidRPr="00456A27">
        <w:rPr>
          <w:rFonts w:ascii="Times New Roman" w:eastAsiaTheme="minorHAnsi" w:hAnsi="Times New Roman"/>
          <w:szCs w:val="24"/>
          <w:u w:val="single"/>
        </w:rPr>
        <w:t xml:space="preserve"> applicant is in compliance with and has paid all fees assessed by the Environmental Quality Act, La. R.S. 30:2001, et Seq., and LAC 33:XI.</w:t>
      </w:r>
    </w:p>
    <w:p w14:paraId="4D9C7053"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t>C.</w:t>
      </w:r>
      <w:r w:rsidRPr="00456A27">
        <w:rPr>
          <w:rFonts w:ascii="Times New Roman" w:eastAsiaTheme="minorHAnsi" w:hAnsi="Times New Roman"/>
          <w:szCs w:val="24"/>
          <w:u w:val="single"/>
        </w:rPr>
        <w:tab/>
        <w:t xml:space="preserve">Grants provided pursuant to this Chapter </w:t>
      </w:r>
      <w:proofErr w:type="gramStart"/>
      <w:r w:rsidRPr="00456A27">
        <w:rPr>
          <w:rFonts w:ascii="Times New Roman" w:eastAsiaTheme="minorHAnsi" w:hAnsi="Times New Roman"/>
          <w:szCs w:val="24"/>
          <w:u w:val="single"/>
        </w:rPr>
        <w:t>shall only be made</w:t>
      </w:r>
      <w:proofErr w:type="gramEnd"/>
      <w:r w:rsidRPr="00456A27">
        <w:rPr>
          <w:rFonts w:ascii="Times New Roman" w:eastAsiaTheme="minorHAnsi" w:hAnsi="Times New Roman"/>
          <w:szCs w:val="24"/>
          <w:u w:val="single"/>
        </w:rPr>
        <w:t xml:space="preserve"> in the form of reimbursement for completed upgrades and/or improvements after inspection and approval by the department.</w:t>
      </w:r>
    </w:p>
    <w:p w14:paraId="058DFCB1"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t>D.</w:t>
      </w:r>
      <w:r w:rsidRPr="00456A27">
        <w:rPr>
          <w:rFonts w:ascii="Times New Roman" w:eastAsiaTheme="minorHAnsi" w:hAnsi="Times New Roman"/>
          <w:szCs w:val="24"/>
          <w:u w:val="single"/>
        </w:rPr>
        <w:tab/>
        <w:t xml:space="preserve">No grant shall exceed $150,000. The </w:t>
      </w:r>
      <w:proofErr w:type="gramStart"/>
      <w:r w:rsidRPr="00456A27">
        <w:rPr>
          <w:rFonts w:ascii="Times New Roman" w:eastAsiaTheme="minorHAnsi" w:hAnsi="Times New Roman"/>
          <w:szCs w:val="24"/>
          <w:u w:val="single"/>
        </w:rPr>
        <w:t>total amount of grants issued per state fiscal year (July 1 – June 30) shall be determined by the beginning balance in the interest account as indicated below</w:t>
      </w:r>
      <w:proofErr w:type="gramEnd"/>
      <w:r w:rsidRPr="00456A27">
        <w:rPr>
          <w:rFonts w:ascii="Times New Roman" w:eastAsiaTheme="minorHAnsi" w:hAnsi="Times New Roman"/>
          <w:szCs w:val="24"/>
          <w:u w:val="single"/>
        </w:rPr>
        <w:t>:</w:t>
      </w:r>
    </w:p>
    <w:p w14:paraId="3323D24A" w14:textId="77777777" w:rsidR="00E57CAF" w:rsidRPr="00456A27" w:rsidRDefault="00E57CAF" w:rsidP="00E57CAF">
      <w:pPr>
        <w:autoSpaceDE/>
        <w:autoSpaceDN/>
        <w:spacing w:line="480" w:lineRule="auto"/>
        <w:ind w:firstLine="1440"/>
        <w:rPr>
          <w:rFonts w:ascii="Times New Roman" w:eastAsiaTheme="minorHAnsi" w:hAnsi="Times New Roman"/>
          <w:szCs w:val="24"/>
          <w:u w:val="single"/>
        </w:rPr>
      </w:pPr>
      <w:r w:rsidRPr="00456A27">
        <w:rPr>
          <w:rFonts w:ascii="Times New Roman" w:eastAsiaTheme="minorHAnsi" w:hAnsi="Times New Roman"/>
          <w:szCs w:val="24"/>
          <w:u w:val="single"/>
        </w:rPr>
        <w:t>1.</w:t>
      </w:r>
      <w:r w:rsidRPr="00456A27">
        <w:rPr>
          <w:rFonts w:ascii="Times New Roman" w:eastAsiaTheme="minorHAnsi" w:hAnsi="Times New Roman"/>
          <w:szCs w:val="24"/>
          <w:u w:val="single"/>
        </w:rPr>
        <w:tab/>
        <w:t>If the interest account has a beginning balance of greater than $5,000,000 on July 1, then then total amount of grants per year shall not exceed $3,000,000.</w:t>
      </w:r>
    </w:p>
    <w:p w14:paraId="00473F5F" w14:textId="77777777" w:rsidR="00E57CAF" w:rsidRPr="00456A27" w:rsidRDefault="00E57CAF" w:rsidP="00E57CAF">
      <w:pPr>
        <w:autoSpaceDE/>
        <w:autoSpaceDN/>
        <w:spacing w:line="480" w:lineRule="auto"/>
        <w:ind w:firstLine="1440"/>
        <w:rPr>
          <w:rFonts w:ascii="Times New Roman" w:eastAsiaTheme="minorHAnsi" w:hAnsi="Times New Roman"/>
          <w:szCs w:val="24"/>
          <w:u w:val="single"/>
        </w:rPr>
      </w:pPr>
      <w:r w:rsidRPr="00456A27">
        <w:rPr>
          <w:rFonts w:ascii="Times New Roman" w:eastAsiaTheme="minorHAnsi" w:hAnsi="Times New Roman"/>
          <w:szCs w:val="24"/>
          <w:u w:val="single"/>
        </w:rPr>
        <w:t>2.</w:t>
      </w:r>
      <w:r w:rsidRPr="00456A27">
        <w:rPr>
          <w:rFonts w:ascii="Times New Roman" w:eastAsiaTheme="minorHAnsi" w:hAnsi="Times New Roman"/>
          <w:szCs w:val="24"/>
          <w:u w:val="single"/>
        </w:rPr>
        <w:tab/>
        <w:t>If the interest account has a beginning balance of less than $5,000,000 on July 1, then the total amount of grants per year shall not exceed $1,500,000.</w:t>
      </w:r>
    </w:p>
    <w:p w14:paraId="4856D4DC"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t>E.</w:t>
      </w:r>
      <w:r w:rsidRPr="00456A27">
        <w:rPr>
          <w:rFonts w:ascii="Times New Roman" w:eastAsiaTheme="minorHAnsi" w:hAnsi="Times New Roman"/>
          <w:szCs w:val="24"/>
          <w:u w:val="single"/>
        </w:rPr>
        <w:tab/>
        <w:t>Eligible applicants may apply for only one grant each state fiscal year.</w:t>
      </w:r>
    </w:p>
    <w:p w14:paraId="4630E25A"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t>F.</w:t>
      </w:r>
      <w:r w:rsidRPr="00456A27">
        <w:rPr>
          <w:rFonts w:ascii="Times New Roman" w:eastAsiaTheme="minorHAnsi" w:hAnsi="Times New Roman"/>
          <w:szCs w:val="24"/>
          <w:u w:val="single"/>
        </w:rPr>
        <w:tab/>
        <w:t>The applicant shall apply the grant only at the project facility.</w:t>
      </w:r>
    </w:p>
    <w:p w14:paraId="5C68642B"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t>G.</w:t>
      </w:r>
      <w:r w:rsidRPr="00456A27">
        <w:rPr>
          <w:rFonts w:ascii="Times New Roman" w:eastAsiaTheme="minorHAnsi" w:hAnsi="Times New Roman"/>
          <w:szCs w:val="24"/>
          <w:u w:val="single"/>
        </w:rPr>
        <w:tab/>
        <w:t xml:space="preserve">Applicants shall complete the upgrade and/or improvement as soon as possible but no later than two fiscal years (July 1 – June 30) beyond the fiscal year of approval for participation in the grant program. Failure to complete the upgrade and/or improvement within </w:t>
      </w:r>
      <w:r w:rsidRPr="00456A27">
        <w:rPr>
          <w:rFonts w:ascii="Times New Roman" w:eastAsiaTheme="minorHAnsi" w:hAnsi="Times New Roman"/>
          <w:szCs w:val="24"/>
          <w:u w:val="single"/>
        </w:rPr>
        <w:lastRenderedPageBreak/>
        <w:t>two fiscal years will result in the applicant being ineligible for reimbursement from the grant program.</w:t>
      </w:r>
    </w:p>
    <w:p w14:paraId="2BD7BEC8"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AUTHORITY NOTE:</w:t>
      </w:r>
      <w:r w:rsidRPr="00456A27">
        <w:rPr>
          <w:rFonts w:ascii="Times New Roman" w:eastAsiaTheme="minorHAnsi" w:hAnsi="Times New Roman"/>
          <w:szCs w:val="24"/>
        </w:rPr>
        <w:tab/>
        <w:t xml:space="preserve">Promulgated in accordance with R.S. </w:t>
      </w:r>
      <w:proofErr w:type="gramStart"/>
      <w:r w:rsidRPr="00456A27">
        <w:rPr>
          <w:rFonts w:ascii="Times New Roman" w:eastAsiaTheme="minorHAnsi" w:hAnsi="Times New Roman"/>
          <w:szCs w:val="24"/>
        </w:rPr>
        <w:t>30:2195.2.A(</w:t>
      </w:r>
      <w:proofErr w:type="gramEnd"/>
      <w:r w:rsidRPr="00456A27">
        <w:rPr>
          <w:rFonts w:ascii="Times New Roman" w:eastAsiaTheme="minorHAnsi" w:hAnsi="Times New Roman"/>
          <w:szCs w:val="24"/>
        </w:rPr>
        <w:t>6)(e).</w:t>
      </w:r>
    </w:p>
    <w:p w14:paraId="0EBECD7C"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HISTORICAL NOTE:</w:t>
      </w:r>
      <w:r w:rsidRPr="00456A27">
        <w:rPr>
          <w:rFonts w:ascii="Times New Roman" w:eastAsiaTheme="minorHAnsi" w:hAnsi="Times New Roman"/>
          <w:szCs w:val="24"/>
        </w:rPr>
        <w:tab/>
        <w:t>Promulgated by the Department of Environmental Quality, Office of the Secretary, Legal Affairs and Criminal Investigations Division, LR 49:</w:t>
      </w:r>
    </w:p>
    <w:p w14:paraId="48DDC4D2" w14:textId="77777777" w:rsidR="00E57CAF" w:rsidRPr="00456A27" w:rsidRDefault="00E57CAF" w:rsidP="00E57CAF">
      <w:pPr>
        <w:autoSpaceDE/>
        <w:autoSpaceDN/>
        <w:rPr>
          <w:rFonts w:ascii="Times New Roman" w:eastAsiaTheme="minorHAnsi" w:hAnsi="Times New Roman"/>
          <w:szCs w:val="24"/>
        </w:rPr>
      </w:pPr>
    </w:p>
    <w:bookmarkEnd w:id="5"/>
    <w:bookmarkEnd w:id="6"/>
    <w:p w14:paraId="7ED47DA8" w14:textId="77777777" w:rsidR="00E57CAF" w:rsidRPr="00456A27" w:rsidRDefault="00E57CAF" w:rsidP="00E57CAF">
      <w:pPr>
        <w:tabs>
          <w:tab w:val="left" w:pos="1080"/>
        </w:tabs>
        <w:autoSpaceDE/>
        <w:autoSpaceDN/>
        <w:spacing w:line="480" w:lineRule="auto"/>
        <w:rPr>
          <w:rFonts w:ascii="Times New Roman" w:eastAsiaTheme="minorHAnsi" w:hAnsi="Times New Roman"/>
          <w:b/>
          <w:szCs w:val="24"/>
          <w:u w:val="single"/>
        </w:rPr>
      </w:pPr>
      <w:r w:rsidRPr="00456A27">
        <w:rPr>
          <w:rFonts w:ascii="Times New Roman" w:eastAsiaTheme="minorHAnsi" w:hAnsi="Times New Roman"/>
          <w:b/>
          <w:szCs w:val="24"/>
          <w:u w:val="single"/>
        </w:rPr>
        <w:t>§1411.</w:t>
      </w:r>
      <w:r w:rsidRPr="00456A27">
        <w:rPr>
          <w:rFonts w:ascii="Times New Roman" w:eastAsiaTheme="minorHAnsi" w:hAnsi="Times New Roman"/>
          <w:b/>
          <w:szCs w:val="24"/>
          <w:u w:val="single"/>
        </w:rPr>
        <w:tab/>
        <w:t xml:space="preserve">Application Process </w:t>
      </w:r>
    </w:p>
    <w:p w14:paraId="38E5A046"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t>A.</w:t>
      </w:r>
      <w:r w:rsidRPr="00456A27">
        <w:rPr>
          <w:rFonts w:ascii="Times New Roman" w:eastAsiaTheme="minorHAnsi" w:hAnsi="Times New Roman"/>
          <w:szCs w:val="24"/>
          <w:u w:val="single"/>
        </w:rPr>
        <w:tab/>
        <w:t>An application for funding shall be on a department provided form and shall include information regarding:</w:t>
      </w:r>
    </w:p>
    <w:p w14:paraId="5C427C36" w14:textId="77777777" w:rsidR="00E57CAF" w:rsidRPr="00456A27" w:rsidRDefault="00E57CAF" w:rsidP="00E57CAF">
      <w:pPr>
        <w:autoSpaceDE/>
        <w:autoSpaceDN/>
        <w:spacing w:line="480" w:lineRule="auto"/>
        <w:rPr>
          <w:rFonts w:ascii="Times New Roman" w:eastAsiaTheme="minorHAnsi" w:hAnsi="Times New Roman"/>
          <w:szCs w:val="24"/>
          <w:u w:val="single"/>
        </w:rPr>
      </w:pPr>
      <w:r w:rsidRPr="00456A27">
        <w:rPr>
          <w:rFonts w:ascii="Times New Roman" w:eastAsiaTheme="minorHAnsi" w:hAnsi="Times New Roman"/>
          <w:szCs w:val="24"/>
        </w:rPr>
        <w:tab/>
      </w:r>
      <w:r w:rsidRPr="00456A27">
        <w:rPr>
          <w:rFonts w:ascii="Times New Roman" w:eastAsiaTheme="minorHAnsi" w:hAnsi="Times New Roman"/>
          <w:szCs w:val="24"/>
        </w:rPr>
        <w:tab/>
      </w:r>
      <w:r w:rsidRPr="00456A27">
        <w:rPr>
          <w:rFonts w:ascii="Times New Roman" w:eastAsiaTheme="minorHAnsi" w:hAnsi="Times New Roman"/>
          <w:szCs w:val="24"/>
          <w:u w:val="single"/>
        </w:rPr>
        <w:t>1.</w:t>
      </w:r>
      <w:r w:rsidRPr="00456A27">
        <w:rPr>
          <w:rFonts w:ascii="Times New Roman" w:eastAsiaTheme="minorHAnsi" w:hAnsi="Times New Roman"/>
          <w:szCs w:val="24"/>
          <w:u w:val="single"/>
        </w:rPr>
        <w:tab/>
      </w:r>
      <w:proofErr w:type="gramStart"/>
      <w:r w:rsidRPr="00456A27">
        <w:rPr>
          <w:rFonts w:ascii="Times New Roman" w:eastAsiaTheme="minorHAnsi" w:hAnsi="Times New Roman"/>
          <w:szCs w:val="24"/>
          <w:u w:val="single"/>
        </w:rPr>
        <w:t>the</w:t>
      </w:r>
      <w:proofErr w:type="gramEnd"/>
      <w:r w:rsidRPr="00456A27">
        <w:rPr>
          <w:rFonts w:ascii="Times New Roman" w:eastAsiaTheme="minorHAnsi" w:hAnsi="Times New Roman"/>
          <w:szCs w:val="24"/>
          <w:u w:val="single"/>
        </w:rPr>
        <w:t xml:space="preserve"> applicant, including location of domicile;</w:t>
      </w:r>
    </w:p>
    <w:p w14:paraId="7DA41B33" w14:textId="77777777" w:rsidR="00E57CAF" w:rsidRPr="00456A27" w:rsidRDefault="00E57CAF" w:rsidP="00E57CAF">
      <w:pPr>
        <w:autoSpaceDE/>
        <w:autoSpaceDN/>
        <w:spacing w:line="480" w:lineRule="auto"/>
        <w:rPr>
          <w:rFonts w:ascii="Times New Roman" w:eastAsiaTheme="minorHAnsi" w:hAnsi="Times New Roman"/>
          <w:szCs w:val="24"/>
          <w:u w:val="single"/>
        </w:rPr>
      </w:pPr>
      <w:r w:rsidRPr="00456A27">
        <w:rPr>
          <w:rFonts w:ascii="Times New Roman" w:eastAsiaTheme="minorHAnsi" w:hAnsi="Times New Roman"/>
          <w:szCs w:val="24"/>
        </w:rPr>
        <w:tab/>
      </w:r>
      <w:r w:rsidRPr="00456A27">
        <w:rPr>
          <w:rFonts w:ascii="Times New Roman" w:eastAsiaTheme="minorHAnsi" w:hAnsi="Times New Roman"/>
          <w:szCs w:val="24"/>
        </w:rPr>
        <w:tab/>
      </w:r>
      <w:r w:rsidRPr="00456A27">
        <w:rPr>
          <w:rFonts w:ascii="Times New Roman" w:eastAsiaTheme="minorHAnsi" w:hAnsi="Times New Roman"/>
          <w:szCs w:val="24"/>
          <w:u w:val="single"/>
        </w:rPr>
        <w:t>2.</w:t>
      </w:r>
      <w:r w:rsidRPr="00456A27">
        <w:rPr>
          <w:rFonts w:ascii="Times New Roman" w:eastAsiaTheme="minorHAnsi" w:hAnsi="Times New Roman"/>
          <w:szCs w:val="24"/>
          <w:u w:val="single"/>
        </w:rPr>
        <w:tab/>
      </w:r>
      <w:proofErr w:type="gramStart"/>
      <w:r w:rsidRPr="00456A27">
        <w:rPr>
          <w:rFonts w:ascii="Times New Roman" w:eastAsiaTheme="minorHAnsi" w:hAnsi="Times New Roman"/>
          <w:szCs w:val="24"/>
          <w:u w:val="single"/>
        </w:rPr>
        <w:t>the</w:t>
      </w:r>
      <w:proofErr w:type="gramEnd"/>
      <w:r w:rsidRPr="00456A27">
        <w:rPr>
          <w:rFonts w:ascii="Times New Roman" w:eastAsiaTheme="minorHAnsi" w:hAnsi="Times New Roman"/>
          <w:szCs w:val="24"/>
          <w:u w:val="single"/>
        </w:rPr>
        <w:t xml:space="preserve"> project facility, including information about the single wall underground storage tank system; and</w:t>
      </w:r>
    </w:p>
    <w:p w14:paraId="1BB46FD6" w14:textId="77777777" w:rsidR="00E57CAF" w:rsidRPr="00456A27" w:rsidRDefault="00E57CAF" w:rsidP="00E57CAF">
      <w:pPr>
        <w:autoSpaceDE/>
        <w:autoSpaceDN/>
        <w:spacing w:line="480" w:lineRule="auto"/>
        <w:rPr>
          <w:rFonts w:ascii="Times New Roman" w:eastAsiaTheme="minorHAnsi" w:hAnsi="Times New Roman"/>
          <w:szCs w:val="24"/>
          <w:u w:val="single"/>
        </w:rPr>
      </w:pPr>
      <w:r w:rsidRPr="00456A27">
        <w:rPr>
          <w:rFonts w:ascii="Times New Roman" w:eastAsiaTheme="minorHAnsi" w:hAnsi="Times New Roman"/>
          <w:szCs w:val="24"/>
        </w:rPr>
        <w:tab/>
      </w:r>
      <w:r w:rsidRPr="00456A27">
        <w:rPr>
          <w:rFonts w:ascii="Times New Roman" w:eastAsiaTheme="minorHAnsi" w:hAnsi="Times New Roman"/>
          <w:szCs w:val="24"/>
        </w:rPr>
        <w:tab/>
      </w:r>
      <w:r w:rsidRPr="00456A27">
        <w:rPr>
          <w:rFonts w:ascii="Times New Roman" w:eastAsiaTheme="minorHAnsi" w:hAnsi="Times New Roman"/>
          <w:szCs w:val="24"/>
          <w:u w:val="single"/>
        </w:rPr>
        <w:t>3.</w:t>
      </w:r>
      <w:r w:rsidRPr="00456A27">
        <w:rPr>
          <w:rFonts w:ascii="Times New Roman" w:eastAsiaTheme="minorHAnsi" w:hAnsi="Times New Roman"/>
          <w:szCs w:val="24"/>
          <w:u w:val="single"/>
        </w:rPr>
        <w:tab/>
      </w:r>
      <w:proofErr w:type="gramStart"/>
      <w:r w:rsidRPr="00456A27">
        <w:rPr>
          <w:rFonts w:ascii="Times New Roman" w:eastAsiaTheme="minorHAnsi" w:hAnsi="Times New Roman"/>
          <w:szCs w:val="24"/>
          <w:u w:val="single"/>
        </w:rPr>
        <w:t>the</w:t>
      </w:r>
      <w:proofErr w:type="gramEnd"/>
      <w:r w:rsidRPr="00456A27">
        <w:rPr>
          <w:rFonts w:ascii="Times New Roman" w:eastAsiaTheme="minorHAnsi" w:hAnsi="Times New Roman"/>
          <w:szCs w:val="24"/>
          <w:u w:val="single"/>
        </w:rPr>
        <w:t xml:space="preserve"> proposed upgrade and/or improvements to the single wall underground storage tank system.</w:t>
      </w:r>
    </w:p>
    <w:p w14:paraId="74332567"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t>B.</w:t>
      </w:r>
      <w:r w:rsidRPr="00456A27">
        <w:rPr>
          <w:rFonts w:ascii="Times New Roman" w:eastAsiaTheme="minorHAnsi" w:hAnsi="Times New Roman"/>
          <w:szCs w:val="24"/>
          <w:u w:val="single"/>
        </w:rPr>
        <w:tab/>
        <w:t xml:space="preserve">The application period for participation in the grant program shall be from January 1 to March 31.  Applications received after March 31 </w:t>
      </w:r>
      <w:proofErr w:type="gramStart"/>
      <w:r w:rsidRPr="00456A27">
        <w:rPr>
          <w:rFonts w:ascii="Times New Roman" w:eastAsiaTheme="minorHAnsi" w:hAnsi="Times New Roman"/>
          <w:szCs w:val="24"/>
          <w:u w:val="single"/>
        </w:rPr>
        <w:t>will be rejected</w:t>
      </w:r>
      <w:proofErr w:type="gramEnd"/>
      <w:r w:rsidRPr="00456A27">
        <w:rPr>
          <w:rFonts w:ascii="Times New Roman" w:eastAsiaTheme="minorHAnsi" w:hAnsi="Times New Roman"/>
          <w:szCs w:val="24"/>
          <w:u w:val="single"/>
        </w:rPr>
        <w:t xml:space="preserve"> for participation in the grant program for the upcoming state fiscal year and the applicants must reapply for participation in the grant program for the forthcoming state fiscal year.</w:t>
      </w:r>
    </w:p>
    <w:p w14:paraId="692ED741"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t>C.</w:t>
      </w:r>
      <w:r w:rsidRPr="00456A27">
        <w:rPr>
          <w:rFonts w:ascii="Times New Roman" w:eastAsiaTheme="minorHAnsi" w:hAnsi="Times New Roman"/>
          <w:szCs w:val="24"/>
          <w:u w:val="single"/>
        </w:rPr>
        <w:tab/>
        <w:t>The department may perform a compliance evaluation inspection of the project facility prior to any upgrades and/or improvements.</w:t>
      </w:r>
    </w:p>
    <w:p w14:paraId="4504B5C0"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t>D.</w:t>
      </w:r>
      <w:r w:rsidRPr="00456A27">
        <w:rPr>
          <w:rFonts w:ascii="Times New Roman" w:eastAsiaTheme="minorHAnsi" w:hAnsi="Times New Roman"/>
          <w:szCs w:val="24"/>
          <w:u w:val="single"/>
        </w:rPr>
        <w:tab/>
        <w:t xml:space="preserve">The department shall notify the applicant in writing if the application </w:t>
      </w:r>
      <w:proofErr w:type="gramStart"/>
      <w:r w:rsidRPr="00456A27">
        <w:rPr>
          <w:rFonts w:ascii="Times New Roman" w:eastAsiaTheme="minorHAnsi" w:hAnsi="Times New Roman"/>
          <w:szCs w:val="24"/>
          <w:u w:val="single"/>
        </w:rPr>
        <w:t>has been approved or rejected with an explanation</w:t>
      </w:r>
      <w:proofErr w:type="gramEnd"/>
      <w:r w:rsidRPr="00456A27">
        <w:rPr>
          <w:rFonts w:ascii="Times New Roman" w:eastAsiaTheme="minorHAnsi" w:hAnsi="Times New Roman"/>
          <w:szCs w:val="24"/>
          <w:u w:val="single"/>
        </w:rPr>
        <w:t>.</w:t>
      </w:r>
    </w:p>
    <w:p w14:paraId="60BD581F"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AUTHORITY NOTE:</w:t>
      </w:r>
      <w:r w:rsidRPr="00456A27">
        <w:rPr>
          <w:rFonts w:ascii="Times New Roman" w:eastAsiaTheme="minorHAnsi" w:hAnsi="Times New Roman"/>
          <w:szCs w:val="24"/>
        </w:rPr>
        <w:tab/>
        <w:t xml:space="preserve">Promulgated in accordance with R.S. </w:t>
      </w:r>
      <w:proofErr w:type="gramStart"/>
      <w:r w:rsidRPr="00456A27">
        <w:rPr>
          <w:rFonts w:ascii="Times New Roman" w:eastAsiaTheme="minorHAnsi" w:hAnsi="Times New Roman"/>
          <w:szCs w:val="24"/>
        </w:rPr>
        <w:t>30:2195.2.A(</w:t>
      </w:r>
      <w:proofErr w:type="gramEnd"/>
      <w:r w:rsidRPr="00456A27">
        <w:rPr>
          <w:rFonts w:ascii="Times New Roman" w:eastAsiaTheme="minorHAnsi" w:hAnsi="Times New Roman"/>
          <w:szCs w:val="24"/>
        </w:rPr>
        <w:t>6)(e).</w:t>
      </w:r>
    </w:p>
    <w:p w14:paraId="5AEA8124"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HISTORICAL NOTE:</w:t>
      </w:r>
      <w:r w:rsidRPr="00456A27">
        <w:rPr>
          <w:rFonts w:ascii="Times New Roman" w:eastAsiaTheme="minorHAnsi" w:hAnsi="Times New Roman"/>
          <w:szCs w:val="24"/>
        </w:rPr>
        <w:tab/>
        <w:t>Promulgated by the Department of Environmental Quality, Office of the Secretary, Legal Affairs and Criminal Investigations Division, LR 49:</w:t>
      </w:r>
    </w:p>
    <w:p w14:paraId="716920C9" w14:textId="77777777" w:rsidR="00E57CAF" w:rsidRPr="00456A27" w:rsidRDefault="00E57CAF" w:rsidP="00E57CAF">
      <w:pPr>
        <w:autoSpaceDE/>
        <w:autoSpaceDN/>
        <w:rPr>
          <w:rFonts w:ascii="Times New Roman" w:eastAsiaTheme="minorHAnsi" w:hAnsi="Times New Roman"/>
          <w:szCs w:val="24"/>
        </w:rPr>
      </w:pPr>
    </w:p>
    <w:p w14:paraId="691BAFA2" w14:textId="77777777" w:rsidR="00E57CAF" w:rsidRPr="00456A27" w:rsidRDefault="00E57CAF" w:rsidP="00E57CAF">
      <w:pPr>
        <w:tabs>
          <w:tab w:val="left" w:pos="990"/>
        </w:tabs>
        <w:autoSpaceDE/>
        <w:autoSpaceDN/>
        <w:spacing w:line="480" w:lineRule="auto"/>
        <w:rPr>
          <w:rFonts w:ascii="Times New Roman" w:eastAsiaTheme="minorHAnsi" w:hAnsi="Times New Roman"/>
          <w:b/>
          <w:szCs w:val="24"/>
          <w:u w:val="single"/>
        </w:rPr>
      </w:pPr>
      <w:r w:rsidRPr="00456A27">
        <w:rPr>
          <w:rFonts w:ascii="Times New Roman" w:eastAsiaTheme="minorHAnsi" w:hAnsi="Times New Roman"/>
          <w:b/>
          <w:szCs w:val="24"/>
          <w:u w:val="single"/>
        </w:rPr>
        <w:t>§1413.</w:t>
      </w:r>
      <w:r w:rsidRPr="00456A27">
        <w:rPr>
          <w:rFonts w:ascii="Times New Roman" w:eastAsiaTheme="minorHAnsi" w:hAnsi="Times New Roman"/>
          <w:b/>
          <w:szCs w:val="24"/>
          <w:u w:val="single"/>
        </w:rPr>
        <w:tab/>
        <w:t>Procedures Prior to Making Upgrades or Improvements</w:t>
      </w:r>
    </w:p>
    <w:p w14:paraId="662DDA5A"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lastRenderedPageBreak/>
        <w:t>A.</w:t>
      </w:r>
      <w:r w:rsidRPr="00456A27">
        <w:rPr>
          <w:rFonts w:ascii="Times New Roman" w:eastAsiaTheme="minorHAnsi" w:hAnsi="Times New Roman"/>
          <w:szCs w:val="24"/>
          <w:u w:val="single"/>
        </w:rPr>
        <w:tab/>
        <w:t>Applicants may be approved for the grant program upon the condition they meet the requirements for participation and are in compliance with the Environmental Quality Act, R.S. 30:2001, et seq., and LAC 33</w:t>
      </w:r>
      <w:proofErr w:type="gramStart"/>
      <w:r w:rsidRPr="00456A27">
        <w:rPr>
          <w:rFonts w:ascii="Times New Roman" w:eastAsiaTheme="minorHAnsi" w:hAnsi="Times New Roman"/>
          <w:szCs w:val="24"/>
          <w:u w:val="single"/>
        </w:rPr>
        <w:t>:XI</w:t>
      </w:r>
      <w:proofErr w:type="gramEnd"/>
      <w:r w:rsidRPr="00456A27">
        <w:rPr>
          <w:rFonts w:ascii="Times New Roman" w:eastAsiaTheme="minorHAnsi" w:hAnsi="Times New Roman"/>
          <w:szCs w:val="24"/>
          <w:u w:val="single"/>
        </w:rPr>
        <w:t>.</w:t>
      </w:r>
    </w:p>
    <w:p w14:paraId="081E9C3F"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t>B.</w:t>
      </w:r>
      <w:r w:rsidRPr="00456A27">
        <w:rPr>
          <w:rFonts w:ascii="Times New Roman" w:eastAsiaTheme="minorHAnsi" w:hAnsi="Times New Roman"/>
          <w:szCs w:val="24"/>
          <w:u w:val="single"/>
        </w:rPr>
        <w:tab/>
        <w:t>Applicants must have written approval from the department for participation in the grant program prior to implementing any eligible upgrades and/or improvements.</w:t>
      </w:r>
    </w:p>
    <w:p w14:paraId="195CBF6E"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AUTHORITY NOTE:</w:t>
      </w:r>
      <w:r w:rsidRPr="00456A27">
        <w:rPr>
          <w:rFonts w:ascii="Times New Roman" w:eastAsiaTheme="minorHAnsi" w:hAnsi="Times New Roman"/>
          <w:szCs w:val="24"/>
        </w:rPr>
        <w:tab/>
        <w:t xml:space="preserve">Promulgated in accordance with R.S. </w:t>
      </w:r>
      <w:proofErr w:type="gramStart"/>
      <w:r w:rsidRPr="00456A27">
        <w:rPr>
          <w:rFonts w:ascii="Times New Roman" w:eastAsiaTheme="minorHAnsi" w:hAnsi="Times New Roman"/>
          <w:szCs w:val="24"/>
        </w:rPr>
        <w:t>30:2195.2.A(</w:t>
      </w:r>
      <w:proofErr w:type="gramEnd"/>
      <w:r w:rsidRPr="00456A27">
        <w:rPr>
          <w:rFonts w:ascii="Times New Roman" w:eastAsiaTheme="minorHAnsi" w:hAnsi="Times New Roman"/>
          <w:szCs w:val="24"/>
        </w:rPr>
        <w:t>6)(e).</w:t>
      </w:r>
    </w:p>
    <w:p w14:paraId="1628AEB0"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HISTORICAL NOTE:</w:t>
      </w:r>
      <w:r w:rsidRPr="00456A27">
        <w:rPr>
          <w:rFonts w:ascii="Times New Roman" w:eastAsiaTheme="minorHAnsi" w:hAnsi="Times New Roman"/>
          <w:szCs w:val="24"/>
        </w:rPr>
        <w:tab/>
        <w:t>Promulgated by the Department of Environmental Quality, Office of the Secretary, Legal Affairs and Criminal Investigations Division, LR 49:</w:t>
      </w:r>
    </w:p>
    <w:p w14:paraId="31C2539B" w14:textId="77777777" w:rsidR="00E57CAF" w:rsidRPr="00456A27" w:rsidRDefault="00E57CAF" w:rsidP="00E57CAF">
      <w:pPr>
        <w:autoSpaceDE/>
        <w:autoSpaceDN/>
        <w:rPr>
          <w:rFonts w:ascii="Times New Roman" w:eastAsiaTheme="minorHAnsi" w:hAnsi="Times New Roman"/>
          <w:szCs w:val="24"/>
        </w:rPr>
      </w:pPr>
    </w:p>
    <w:p w14:paraId="070E2798" w14:textId="77777777" w:rsidR="00E57CAF" w:rsidRPr="00456A27" w:rsidRDefault="00E57CAF" w:rsidP="00E57CAF">
      <w:pPr>
        <w:tabs>
          <w:tab w:val="left" w:pos="1080"/>
        </w:tabs>
        <w:autoSpaceDE/>
        <w:autoSpaceDN/>
        <w:spacing w:line="480" w:lineRule="auto"/>
        <w:rPr>
          <w:rFonts w:ascii="Times New Roman" w:eastAsiaTheme="minorHAnsi" w:hAnsi="Times New Roman"/>
          <w:b/>
          <w:szCs w:val="24"/>
          <w:u w:val="single"/>
        </w:rPr>
      </w:pPr>
      <w:r w:rsidRPr="00456A27">
        <w:rPr>
          <w:rFonts w:ascii="Times New Roman" w:eastAsiaTheme="minorHAnsi" w:hAnsi="Times New Roman"/>
          <w:b/>
          <w:szCs w:val="24"/>
          <w:u w:val="single"/>
        </w:rPr>
        <w:t>§1415.</w:t>
      </w:r>
      <w:r w:rsidRPr="00456A27">
        <w:rPr>
          <w:rFonts w:ascii="Times New Roman" w:eastAsiaTheme="minorHAnsi" w:hAnsi="Times New Roman"/>
          <w:b/>
          <w:szCs w:val="24"/>
          <w:u w:val="single"/>
        </w:rPr>
        <w:tab/>
        <w:t>Department Inspections and Notifications</w:t>
      </w:r>
    </w:p>
    <w:p w14:paraId="4511B43B"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t>A.</w:t>
      </w:r>
      <w:r w:rsidRPr="00456A27">
        <w:rPr>
          <w:rFonts w:ascii="Times New Roman" w:eastAsiaTheme="minorHAnsi" w:hAnsi="Times New Roman"/>
          <w:szCs w:val="24"/>
          <w:u w:val="single"/>
        </w:rPr>
        <w:tab/>
        <w:t>The department may perform periodic inspections during the upgrade and/or improvement and may be present for all installation-critical junctures.</w:t>
      </w:r>
    </w:p>
    <w:p w14:paraId="533C163F"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t>B.</w:t>
      </w:r>
      <w:r w:rsidRPr="00456A27">
        <w:rPr>
          <w:rFonts w:ascii="Times New Roman" w:eastAsiaTheme="minorHAnsi" w:hAnsi="Times New Roman"/>
          <w:szCs w:val="24"/>
          <w:u w:val="single"/>
        </w:rPr>
        <w:tab/>
        <w:t>If the Environmental Quality Act, R.S. 30:2001, et seq., and LAC 33</w:t>
      </w:r>
      <w:proofErr w:type="gramStart"/>
      <w:r w:rsidRPr="00456A27">
        <w:rPr>
          <w:rFonts w:ascii="Times New Roman" w:eastAsiaTheme="minorHAnsi" w:hAnsi="Times New Roman"/>
          <w:szCs w:val="24"/>
          <w:u w:val="single"/>
        </w:rPr>
        <w:t>:XI</w:t>
      </w:r>
      <w:proofErr w:type="gramEnd"/>
      <w:r w:rsidRPr="00456A27">
        <w:rPr>
          <w:rFonts w:ascii="Times New Roman" w:eastAsiaTheme="minorHAnsi" w:hAnsi="Times New Roman"/>
          <w:szCs w:val="24"/>
          <w:u w:val="single"/>
        </w:rPr>
        <w:t xml:space="preserve"> are not followed by the UST owner, operator, or certified worker prior to and during the upgrade and/or improvement, the applicant may not be awarded the grant reimbursement.</w:t>
      </w:r>
    </w:p>
    <w:p w14:paraId="432E4E6C" w14:textId="77777777" w:rsidR="00E57CAF" w:rsidRPr="00456A27" w:rsidRDefault="00E57CAF" w:rsidP="00E57CAF">
      <w:pPr>
        <w:autoSpaceDE/>
        <w:autoSpaceDN/>
        <w:spacing w:line="480" w:lineRule="auto"/>
        <w:rPr>
          <w:rFonts w:ascii="Times New Roman" w:eastAsiaTheme="minorHAnsi" w:hAnsi="Times New Roman"/>
          <w:szCs w:val="24"/>
          <w:u w:val="single"/>
        </w:rPr>
      </w:pPr>
      <w:r w:rsidRPr="00456A27">
        <w:rPr>
          <w:rFonts w:ascii="Times New Roman" w:eastAsiaTheme="minorHAnsi" w:hAnsi="Times New Roman"/>
          <w:szCs w:val="24"/>
        </w:rPr>
        <w:tab/>
      </w:r>
      <w:r w:rsidRPr="00456A27">
        <w:rPr>
          <w:rFonts w:ascii="Times New Roman" w:eastAsiaTheme="minorHAnsi" w:hAnsi="Times New Roman"/>
          <w:szCs w:val="24"/>
        </w:rPr>
        <w:tab/>
      </w:r>
      <w:r w:rsidRPr="00456A27">
        <w:rPr>
          <w:rFonts w:ascii="Times New Roman" w:eastAsiaTheme="minorHAnsi" w:hAnsi="Times New Roman"/>
          <w:szCs w:val="24"/>
          <w:u w:val="single"/>
        </w:rPr>
        <w:t>1.</w:t>
      </w:r>
      <w:r w:rsidRPr="00456A27">
        <w:rPr>
          <w:rFonts w:ascii="Times New Roman" w:eastAsiaTheme="minorHAnsi" w:hAnsi="Times New Roman"/>
          <w:szCs w:val="24"/>
          <w:u w:val="single"/>
        </w:rPr>
        <w:tab/>
        <w:t>The department shall notify the applicant in writing as soon as any violation is determined that disqualifies the applicant from receiving the grant reimbursement.</w:t>
      </w:r>
    </w:p>
    <w:p w14:paraId="62834F69" w14:textId="77777777" w:rsidR="00E57CAF" w:rsidRPr="00456A27" w:rsidRDefault="00E57CAF" w:rsidP="00E57CAF">
      <w:pPr>
        <w:autoSpaceDE/>
        <w:autoSpaceDN/>
        <w:spacing w:line="480" w:lineRule="auto"/>
        <w:rPr>
          <w:rFonts w:ascii="Times New Roman" w:eastAsiaTheme="minorHAnsi" w:hAnsi="Times New Roman"/>
          <w:szCs w:val="24"/>
          <w:u w:val="single"/>
        </w:rPr>
      </w:pPr>
      <w:r w:rsidRPr="00456A27">
        <w:rPr>
          <w:rFonts w:ascii="Times New Roman" w:eastAsiaTheme="minorHAnsi" w:hAnsi="Times New Roman"/>
          <w:szCs w:val="24"/>
        </w:rPr>
        <w:tab/>
      </w:r>
      <w:r w:rsidRPr="00456A27">
        <w:rPr>
          <w:rFonts w:ascii="Times New Roman" w:eastAsiaTheme="minorHAnsi" w:hAnsi="Times New Roman"/>
          <w:szCs w:val="24"/>
          <w:u w:val="single"/>
        </w:rPr>
        <w:t>C.</w:t>
      </w:r>
      <w:r w:rsidRPr="00456A27">
        <w:rPr>
          <w:rFonts w:ascii="Times New Roman" w:eastAsiaTheme="minorHAnsi" w:hAnsi="Times New Roman"/>
          <w:szCs w:val="24"/>
          <w:u w:val="single"/>
        </w:rPr>
        <w:tab/>
        <w:t>The applicant shall notify the department upon completion of the upgrade and/or improvement.</w:t>
      </w:r>
    </w:p>
    <w:p w14:paraId="628A689A" w14:textId="77777777" w:rsidR="00E57CAF" w:rsidRPr="00456A27" w:rsidRDefault="00E57CAF" w:rsidP="00E57CAF">
      <w:pPr>
        <w:autoSpaceDE/>
        <w:autoSpaceDN/>
        <w:spacing w:line="480" w:lineRule="auto"/>
        <w:rPr>
          <w:rFonts w:ascii="Times New Roman" w:eastAsiaTheme="minorHAnsi" w:hAnsi="Times New Roman"/>
          <w:szCs w:val="24"/>
          <w:u w:val="single"/>
        </w:rPr>
      </w:pPr>
      <w:r w:rsidRPr="00456A27">
        <w:rPr>
          <w:rFonts w:ascii="Times New Roman" w:eastAsiaTheme="minorHAnsi" w:hAnsi="Times New Roman"/>
          <w:szCs w:val="24"/>
        </w:rPr>
        <w:tab/>
      </w:r>
      <w:r w:rsidRPr="00456A27">
        <w:rPr>
          <w:rFonts w:ascii="Times New Roman" w:eastAsiaTheme="minorHAnsi" w:hAnsi="Times New Roman"/>
          <w:szCs w:val="24"/>
          <w:u w:val="single"/>
        </w:rPr>
        <w:t>D.</w:t>
      </w:r>
      <w:r w:rsidRPr="00456A27">
        <w:rPr>
          <w:rFonts w:ascii="Times New Roman" w:eastAsiaTheme="minorHAnsi" w:hAnsi="Times New Roman"/>
          <w:szCs w:val="24"/>
          <w:u w:val="single"/>
        </w:rPr>
        <w:tab/>
        <w:t xml:space="preserve">The department shall perform a final inspection of the upgrade and/or improvement and prepare a final inspection report documenting the work </w:t>
      </w:r>
      <w:proofErr w:type="gramStart"/>
      <w:r w:rsidRPr="00456A27">
        <w:rPr>
          <w:rFonts w:ascii="Times New Roman" w:eastAsiaTheme="minorHAnsi" w:hAnsi="Times New Roman"/>
          <w:szCs w:val="24"/>
          <w:u w:val="single"/>
        </w:rPr>
        <w:t>has been completed</w:t>
      </w:r>
      <w:proofErr w:type="gramEnd"/>
      <w:r w:rsidRPr="00456A27">
        <w:rPr>
          <w:rFonts w:ascii="Times New Roman" w:eastAsiaTheme="minorHAnsi" w:hAnsi="Times New Roman"/>
          <w:szCs w:val="24"/>
          <w:u w:val="single"/>
        </w:rPr>
        <w:t xml:space="preserve"> in accordance with the scope of work.</w:t>
      </w:r>
    </w:p>
    <w:p w14:paraId="72DBC6A4"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AUTHORITY NOTE:</w:t>
      </w:r>
      <w:r w:rsidRPr="00456A27">
        <w:rPr>
          <w:rFonts w:ascii="Times New Roman" w:eastAsiaTheme="minorHAnsi" w:hAnsi="Times New Roman"/>
          <w:szCs w:val="24"/>
        </w:rPr>
        <w:tab/>
        <w:t xml:space="preserve">Promulgated in accordance with R.S. </w:t>
      </w:r>
      <w:proofErr w:type="gramStart"/>
      <w:r w:rsidRPr="00456A27">
        <w:rPr>
          <w:rFonts w:ascii="Times New Roman" w:eastAsiaTheme="minorHAnsi" w:hAnsi="Times New Roman"/>
          <w:szCs w:val="24"/>
        </w:rPr>
        <w:t>30:2195.2.A(</w:t>
      </w:r>
      <w:proofErr w:type="gramEnd"/>
      <w:r w:rsidRPr="00456A27">
        <w:rPr>
          <w:rFonts w:ascii="Times New Roman" w:eastAsiaTheme="minorHAnsi" w:hAnsi="Times New Roman"/>
          <w:szCs w:val="24"/>
        </w:rPr>
        <w:t>6)(e).</w:t>
      </w:r>
    </w:p>
    <w:p w14:paraId="74607497"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HISTORICAL NOTE:</w:t>
      </w:r>
      <w:r w:rsidRPr="00456A27">
        <w:rPr>
          <w:rFonts w:ascii="Times New Roman" w:eastAsiaTheme="minorHAnsi" w:hAnsi="Times New Roman"/>
          <w:szCs w:val="24"/>
        </w:rPr>
        <w:tab/>
        <w:t>Promulgated by the Department of Environmental Quality, Office of the Secretary, Legal Affairs and Criminal Investigations Division, LR 49:</w:t>
      </w:r>
    </w:p>
    <w:p w14:paraId="3365BE2A" w14:textId="77777777" w:rsidR="00E57CAF" w:rsidRPr="00456A27" w:rsidRDefault="00E57CAF" w:rsidP="00E57CAF">
      <w:pPr>
        <w:autoSpaceDE/>
        <w:autoSpaceDN/>
        <w:rPr>
          <w:rFonts w:ascii="Times New Roman" w:eastAsiaTheme="minorHAnsi" w:hAnsi="Times New Roman"/>
          <w:szCs w:val="24"/>
        </w:rPr>
      </w:pPr>
    </w:p>
    <w:p w14:paraId="613D2E18" w14:textId="77777777" w:rsidR="00E57CAF" w:rsidRPr="00456A27" w:rsidRDefault="00E57CAF" w:rsidP="00E57CAF">
      <w:pPr>
        <w:tabs>
          <w:tab w:val="left" w:pos="1080"/>
        </w:tabs>
        <w:autoSpaceDE/>
        <w:autoSpaceDN/>
        <w:spacing w:line="480" w:lineRule="auto"/>
        <w:rPr>
          <w:rFonts w:ascii="Times New Roman" w:eastAsiaTheme="minorHAnsi" w:hAnsi="Times New Roman"/>
          <w:b/>
          <w:szCs w:val="24"/>
          <w:u w:val="single"/>
        </w:rPr>
      </w:pPr>
      <w:r w:rsidRPr="00456A27">
        <w:rPr>
          <w:rFonts w:ascii="Times New Roman" w:eastAsiaTheme="minorHAnsi" w:hAnsi="Times New Roman"/>
          <w:b/>
          <w:szCs w:val="24"/>
          <w:u w:val="single"/>
        </w:rPr>
        <w:t>§1417.</w:t>
      </w:r>
      <w:r w:rsidRPr="00456A27">
        <w:rPr>
          <w:rFonts w:ascii="Times New Roman" w:eastAsiaTheme="minorHAnsi" w:hAnsi="Times New Roman"/>
          <w:b/>
          <w:szCs w:val="24"/>
          <w:u w:val="single"/>
        </w:rPr>
        <w:tab/>
        <w:t>Grant Reimbursement Procedures</w:t>
      </w:r>
    </w:p>
    <w:p w14:paraId="031E2A96" w14:textId="77777777" w:rsidR="00E57CAF" w:rsidRPr="00456A27" w:rsidRDefault="00E57CAF" w:rsidP="00E57CAF">
      <w:pPr>
        <w:autoSpaceDE/>
        <w:autoSpaceDN/>
        <w:spacing w:line="480" w:lineRule="auto"/>
        <w:ind w:firstLine="720"/>
        <w:rPr>
          <w:rFonts w:ascii="Times New Roman" w:eastAsiaTheme="minorHAnsi" w:hAnsi="Times New Roman"/>
          <w:szCs w:val="24"/>
          <w:u w:val="single"/>
        </w:rPr>
      </w:pPr>
      <w:r w:rsidRPr="00456A27">
        <w:rPr>
          <w:rFonts w:ascii="Times New Roman" w:eastAsiaTheme="minorHAnsi" w:hAnsi="Times New Roman"/>
          <w:szCs w:val="24"/>
          <w:u w:val="single"/>
        </w:rPr>
        <w:lastRenderedPageBreak/>
        <w:t>A.</w:t>
      </w:r>
      <w:r w:rsidRPr="00456A27">
        <w:rPr>
          <w:rFonts w:ascii="Times New Roman" w:eastAsiaTheme="minorHAnsi" w:hAnsi="Times New Roman"/>
          <w:szCs w:val="24"/>
          <w:u w:val="single"/>
        </w:rPr>
        <w:tab/>
        <w:t>The grant reimbursement shall be on a department provided form and shall include the following.</w:t>
      </w:r>
    </w:p>
    <w:p w14:paraId="37546421" w14:textId="77777777" w:rsidR="00E57CAF" w:rsidRPr="00456A27" w:rsidRDefault="00E57CAF" w:rsidP="00E57CAF">
      <w:pPr>
        <w:autoSpaceDE/>
        <w:autoSpaceDN/>
        <w:spacing w:line="480" w:lineRule="auto"/>
        <w:rPr>
          <w:rFonts w:ascii="Times New Roman" w:eastAsiaTheme="minorHAnsi" w:hAnsi="Times New Roman"/>
          <w:szCs w:val="24"/>
          <w:u w:val="single"/>
        </w:rPr>
      </w:pPr>
      <w:r w:rsidRPr="00456A27">
        <w:rPr>
          <w:rFonts w:ascii="Times New Roman" w:eastAsiaTheme="minorHAnsi" w:hAnsi="Times New Roman"/>
          <w:szCs w:val="24"/>
        </w:rPr>
        <w:tab/>
      </w:r>
      <w:r w:rsidRPr="00456A27">
        <w:rPr>
          <w:rFonts w:ascii="Times New Roman" w:eastAsiaTheme="minorHAnsi" w:hAnsi="Times New Roman"/>
          <w:szCs w:val="24"/>
        </w:rPr>
        <w:tab/>
      </w:r>
      <w:r w:rsidRPr="00456A27">
        <w:rPr>
          <w:rFonts w:ascii="Times New Roman" w:eastAsiaTheme="minorHAnsi" w:hAnsi="Times New Roman"/>
          <w:szCs w:val="24"/>
          <w:u w:val="single"/>
        </w:rPr>
        <w:t>1.</w:t>
      </w:r>
      <w:r w:rsidRPr="00456A27">
        <w:rPr>
          <w:rFonts w:ascii="Times New Roman" w:eastAsiaTheme="minorHAnsi" w:hAnsi="Times New Roman"/>
          <w:szCs w:val="24"/>
          <w:u w:val="single"/>
        </w:rPr>
        <w:tab/>
        <w:t>An affidavit signed by the applicant that all upgrades and/or improvements have been completed in accordance with the scope of work and in accordance with the Environmental Quality Act, R.S. 30:2001, et seq., and LAC 33:XI.</w:t>
      </w:r>
    </w:p>
    <w:p w14:paraId="3B922334" w14:textId="77777777" w:rsidR="00E57CAF" w:rsidRPr="00456A27" w:rsidRDefault="00E57CAF" w:rsidP="00E57CAF">
      <w:pPr>
        <w:autoSpaceDE/>
        <w:autoSpaceDN/>
        <w:spacing w:line="480" w:lineRule="auto"/>
        <w:rPr>
          <w:rFonts w:ascii="Times New Roman" w:eastAsiaTheme="minorHAnsi" w:hAnsi="Times New Roman"/>
          <w:szCs w:val="24"/>
          <w:u w:val="single"/>
        </w:rPr>
      </w:pPr>
      <w:r w:rsidRPr="00456A27">
        <w:rPr>
          <w:rFonts w:ascii="Times New Roman" w:eastAsiaTheme="minorHAnsi" w:hAnsi="Times New Roman"/>
          <w:szCs w:val="24"/>
        </w:rPr>
        <w:tab/>
      </w:r>
      <w:r w:rsidRPr="00456A27">
        <w:rPr>
          <w:rFonts w:ascii="Times New Roman" w:eastAsiaTheme="minorHAnsi" w:hAnsi="Times New Roman"/>
          <w:szCs w:val="24"/>
        </w:rPr>
        <w:tab/>
      </w:r>
      <w:r w:rsidRPr="00456A27">
        <w:rPr>
          <w:rFonts w:ascii="Times New Roman" w:eastAsiaTheme="minorHAnsi" w:hAnsi="Times New Roman"/>
          <w:szCs w:val="24"/>
          <w:u w:val="single"/>
        </w:rPr>
        <w:t>2.</w:t>
      </w:r>
      <w:r w:rsidRPr="00456A27">
        <w:rPr>
          <w:rFonts w:ascii="Times New Roman" w:eastAsiaTheme="minorHAnsi" w:hAnsi="Times New Roman"/>
          <w:szCs w:val="24"/>
          <w:u w:val="single"/>
        </w:rPr>
        <w:tab/>
        <w:t>Copies of all paid invoices for the upgrade and/or improvement.</w:t>
      </w:r>
    </w:p>
    <w:p w14:paraId="705D4ADE" w14:textId="77777777" w:rsidR="00E57CAF" w:rsidRPr="00456A27" w:rsidRDefault="00E57CAF" w:rsidP="00E57CAF">
      <w:pPr>
        <w:autoSpaceDE/>
        <w:autoSpaceDN/>
        <w:spacing w:line="480" w:lineRule="auto"/>
        <w:rPr>
          <w:rFonts w:ascii="Times New Roman" w:eastAsiaTheme="minorHAnsi" w:hAnsi="Times New Roman"/>
          <w:szCs w:val="24"/>
          <w:u w:val="single"/>
        </w:rPr>
      </w:pPr>
      <w:r w:rsidRPr="00456A27">
        <w:rPr>
          <w:rFonts w:ascii="Times New Roman" w:eastAsiaTheme="minorHAnsi" w:hAnsi="Times New Roman"/>
          <w:szCs w:val="24"/>
        </w:rPr>
        <w:tab/>
      </w:r>
      <w:r w:rsidRPr="00456A27">
        <w:rPr>
          <w:rFonts w:ascii="Times New Roman" w:eastAsiaTheme="minorHAnsi" w:hAnsi="Times New Roman"/>
          <w:szCs w:val="24"/>
          <w:u w:val="single"/>
        </w:rPr>
        <w:t>B.</w:t>
      </w:r>
      <w:r w:rsidRPr="00456A27">
        <w:rPr>
          <w:rFonts w:ascii="Times New Roman" w:eastAsiaTheme="minorHAnsi" w:hAnsi="Times New Roman"/>
          <w:szCs w:val="24"/>
          <w:u w:val="single"/>
        </w:rPr>
        <w:tab/>
        <w:t xml:space="preserve">The applicant shall not request reimbursement until after the project facility </w:t>
      </w:r>
      <w:proofErr w:type="gramStart"/>
      <w:r w:rsidRPr="00456A27">
        <w:rPr>
          <w:rFonts w:ascii="Times New Roman" w:eastAsiaTheme="minorHAnsi" w:hAnsi="Times New Roman"/>
          <w:szCs w:val="24"/>
          <w:u w:val="single"/>
        </w:rPr>
        <w:t>is</w:t>
      </w:r>
      <w:proofErr w:type="gramEnd"/>
      <w:r w:rsidRPr="00456A27">
        <w:rPr>
          <w:rFonts w:ascii="Times New Roman" w:eastAsiaTheme="minorHAnsi" w:hAnsi="Times New Roman"/>
          <w:szCs w:val="24"/>
          <w:u w:val="single"/>
        </w:rPr>
        <w:t xml:space="preserve"> placed into service from the upgrade and/or improvement.</w:t>
      </w:r>
    </w:p>
    <w:p w14:paraId="460E23B4" w14:textId="77777777" w:rsidR="00E57CAF" w:rsidRPr="00456A27" w:rsidRDefault="00E57CAF" w:rsidP="00E57CAF">
      <w:pPr>
        <w:autoSpaceDE/>
        <w:autoSpaceDN/>
        <w:spacing w:line="480" w:lineRule="auto"/>
        <w:rPr>
          <w:rFonts w:ascii="Times New Roman" w:eastAsiaTheme="minorHAnsi" w:hAnsi="Times New Roman"/>
          <w:szCs w:val="24"/>
          <w:u w:val="single"/>
        </w:rPr>
      </w:pPr>
      <w:r w:rsidRPr="00456A27">
        <w:rPr>
          <w:rFonts w:ascii="Times New Roman" w:eastAsiaTheme="minorHAnsi" w:hAnsi="Times New Roman"/>
          <w:szCs w:val="24"/>
        </w:rPr>
        <w:tab/>
      </w:r>
      <w:r w:rsidRPr="00456A27">
        <w:rPr>
          <w:rFonts w:ascii="Times New Roman" w:eastAsiaTheme="minorHAnsi" w:hAnsi="Times New Roman"/>
          <w:szCs w:val="24"/>
          <w:u w:val="single"/>
        </w:rPr>
        <w:t>C.</w:t>
      </w:r>
      <w:r w:rsidRPr="00456A27">
        <w:rPr>
          <w:rFonts w:ascii="Times New Roman" w:eastAsiaTheme="minorHAnsi" w:hAnsi="Times New Roman"/>
          <w:szCs w:val="24"/>
          <w:u w:val="single"/>
        </w:rPr>
        <w:tab/>
        <w:t xml:space="preserve">The </w:t>
      </w:r>
      <w:proofErr w:type="gramStart"/>
      <w:r w:rsidRPr="00456A27">
        <w:rPr>
          <w:rFonts w:ascii="Times New Roman" w:eastAsiaTheme="minorHAnsi" w:hAnsi="Times New Roman"/>
          <w:szCs w:val="24"/>
          <w:u w:val="single"/>
        </w:rPr>
        <w:t>grant program reimbursement form</w:t>
      </w:r>
      <w:proofErr w:type="gramEnd"/>
      <w:r w:rsidRPr="00456A27">
        <w:rPr>
          <w:rFonts w:ascii="Times New Roman" w:eastAsiaTheme="minorHAnsi" w:hAnsi="Times New Roman"/>
          <w:szCs w:val="24"/>
          <w:u w:val="single"/>
        </w:rPr>
        <w:t xml:space="preserve"> shall be submitted to the department within 90 days of the project facility being placed into service.</w:t>
      </w:r>
    </w:p>
    <w:p w14:paraId="277C9060"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AUTHORITY NOTE:</w:t>
      </w:r>
      <w:r w:rsidRPr="00456A27">
        <w:rPr>
          <w:rFonts w:ascii="Times New Roman" w:eastAsiaTheme="minorHAnsi" w:hAnsi="Times New Roman"/>
          <w:szCs w:val="24"/>
        </w:rPr>
        <w:tab/>
        <w:t xml:space="preserve">Promulgated in accordance with R.S. </w:t>
      </w:r>
      <w:proofErr w:type="gramStart"/>
      <w:r w:rsidRPr="00456A27">
        <w:rPr>
          <w:rFonts w:ascii="Times New Roman" w:eastAsiaTheme="minorHAnsi" w:hAnsi="Times New Roman"/>
          <w:szCs w:val="24"/>
        </w:rPr>
        <w:t>30:2195.2.A(</w:t>
      </w:r>
      <w:proofErr w:type="gramEnd"/>
      <w:r w:rsidRPr="00456A27">
        <w:rPr>
          <w:rFonts w:ascii="Times New Roman" w:eastAsiaTheme="minorHAnsi" w:hAnsi="Times New Roman"/>
          <w:szCs w:val="24"/>
        </w:rPr>
        <w:t>6)(e).</w:t>
      </w:r>
    </w:p>
    <w:p w14:paraId="70BB8080" w14:textId="77777777" w:rsidR="00E57CAF" w:rsidRPr="00456A27" w:rsidRDefault="00E57CAF" w:rsidP="00E57CAF">
      <w:pPr>
        <w:tabs>
          <w:tab w:val="left" w:pos="288"/>
        </w:tabs>
        <w:autoSpaceDE/>
        <w:autoSpaceDN/>
        <w:rPr>
          <w:rFonts w:ascii="Times New Roman" w:eastAsiaTheme="minorHAnsi" w:hAnsi="Times New Roman"/>
          <w:szCs w:val="24"/>
        </w:rPr>
      </w:pPr>
      <w:r w:rsidRPr="00456A27">
        <w:rPr>
          <w:rFonts w:ascii="Times New Roman" w:eastAsiaTheme="minorHAnsi" w:hAnsi="Times New Roman"/>
          <w:szCs w:val="24"/>
        </w:rPr>
        <w:tab/>
        <w:t>HISTORICAL NOTE:</w:t>
      </w:r>
      <w:r w:rsidRPr="00456A27">
        <w:rPr>
          <w:rFonts w:ascii="Times New Roman" w:eastAsiaTheme="minorHAnsi" w:hAnsi="Times New Roman"/>
          <w:szCs w:val="24"/>
        </w:rPr>
        <w:tab/>
        <w:t>Promulgated by the Department of Environmental Quality, Office of the Secretary, Legal Affairs and Criminal Investigations Division, LR 49:</w:t>
      </w:r>
    </w:p>
    <w:p w14:paraId="1D4E6B0E" w14:textId="77777777" w:rsidR="00E57CAF" w:rsidRDefault="00E57CAF">
      <w:pPr>
        <w:pStyle w:val="WPNormal"/>
        <w:tabs>
          <w:tab w:val="left" w:pos="-720"/>
          <w:tab w:val="left" w:pos="0"/>
          <w:tab w:val="left" w:pos="720"/>
          <w:tab w:val="left" w:pos="1440"/>
          <w:tab w:val="left" w:pos="2160"/>
          <w:tab w:val="left" w:pos="2880"/>
        </w:tabs>
        <w:jc w:val="center"/>
        <w:rPr>
          <w:rFonts w:ascii="Palatino" w:hAnsi="Palatino"/>
          <w:b/>
          <w:sz w:val="20"/>
        </w:rPr>
      </w:pPr>
    </w:p>
    <w:p w14:paraId="60F666FB" w14:textId="77777777" w:rsidR="00E57CAF" w:rsidRDefault="00E57CAF">
      <w:pPr>
        <w:pStyle w:val="WPNormal"/>
        <w:tabs>
          <w:tab w:val="left" w:pos="-720"/>
          <w:tab w:val="left" w:pos="0"/>
          <w:tab w:val="left" w:pos="720"/>
          <w:tab w:val="left" w:pos="1440"/>
          <w:tab w:val="left" w:pos="2160"/>
          <w:tab w:val="left" w:pos="2880"/>
        </w:tabs>
        <w:jc w:val="center"/>
        <w:rPr>
          <w:rFonts w:ascii="Palatino" w:hAnsi="Palatino"/>
          <w:b/>
          <w:sz w:val="20"/>
        </w:rPr>
      </w:pPr>
    </w:p>
    <w:p w14:paraId="5BED242B" w14:textId="41CB719E" w:rsidR="00A9070B" w:rsidRPr="00F36A55" w:rsidRDefault="009735B8" w:rsidP="009735B8">
      <w:pPr>
        <w:pStyle w:val="WPNormal"/>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Palatino" w:hAnsi="Palatino"/>
          <w:sz w:val="20"/>
        </w:rPr>
      </w:pPr>
      <w:r w:rsidRPr="00D560B2">
        <w:rPr>
          <w:rFonts w:ascii="Palatino Linotype" w:hAnsi="Palatino Linotype"/>
          <w:bCs/>
          <w:sz w:val="20"/>
        </w:rPr>
        <w:t xml:space="preserve"> </w:t>
      </w:r>
      <w:bookmarkStart w:id="7" w:name="_GoBack"/>
      <w:bookmarkEnd w:id="7"/>
    </w:p>
    <w:sectPr w:rsidR="00A9070B" w:rsidRPr="00F36A55" w:rsidSect="00E57CAF">
      <w:pgSz w:w="12240" w:h="15840" w:code="1"/>
      <w:pgMar w:top="1440" w:right="1440" w:bottom="1350" w:left="1440" w:header="720" w:footer="72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331744" w16cex:dateUtc="2023-09-05T11:18:00Z"/>
  <w16cex:commentExtensible w16cex:durableId="5A29ED6C" w16cex:dateUtc="2023-09-05T11:24:00Z"/>
  <w16cex:commentExtensible w16cex:durableId="6AC5A294" w16cex:dateUtc="2023-09-05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4690A8" w16cid:durableId="53331744"/>
  <w16cid:commentId w16cid:paraId="3CDD5812" w16cid:durableId="5A29ED6C"/>
  <w16cid:commentId w16cid:paraId="230ACF98" w16cid:durableId="6AC5A2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7F339" w14:textId="77777777" w:rsidR="002D56AE" w:rsidRDefault="002D56AE" w:rsidP="00BF1E75">
      <w:r>
        <w:separator/>
      </w:r>
    </w:p>
  </w:endnote>
  <w:endnote w:type="continuationSeparator" w:id="0">
    <w:p w14:paraId="49A1A926" w14:textId="77777777" w:rsidR="002D56AE" w:rsidRDefault="002D56AE" w:rsidP="00BF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3000003" w:usb1="00000000" w:usb2="00000000" w:usb3="00000000" w:csb0="00000001" w:csb1="00000000"/>
  </w:font>
  <w:font w:name="Geneva">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C9AAD" w14:textId="77777777" w:rsidR="002D56AE" w:rsidRDefault="002D56AE" w:rsidP="00BF1E75">
      <w:r>
        <w:separator/>
      </w:r>
    </w:p>
  </w:footnote>
  <w:footnote w:type="continuationSeparator" w:id="0">
    <w:p w14:paraId="5EB887E3" w14:textId="77777777" w:rsidR="002D56AE" w:rsidRDefault="002D56AE" w:rsidP="00BF1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941E10"/>
    <w:multiLevelType w:val="hybridMultilevel"/>
    <w:tmpl w:val="80BC33CC"/>
    <w:lvl w:ilvl="0" w:tplc="9342D4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8E7BA5"/>
    <w:multiLevelType w:val="hybridMultilevel"/>
    <w:tmpl w:val="B2C60D1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F826E3"/>
    <w:multiLevelType w:val="hybridMultilevel"/>
    <w:tmpl w:val="06E86EC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0E55D5"/>
    <w:multiLevelType w:val="hybridMultilevel"/>
    <w:tmpl w:val="C23C1B9C"/>
    <w:lvl w:ilvl="0" w:tplc="FFFFFFFF">
      <w:start w:val="1"/>
      <w:numFmt w:val="upperLetter"/>
      <w:lvlText w:val="%1."/>
      <w:lvlJc w:val="left"/>
      <w:pPr>
        <w:ind w:left="540" w:hanging="360"/>
      </w:pPr>
      <w:rPr>
        <w:rFonts w:hint="default"/>
      </w:rPr>
    </w:lvl>
    <w:lvl w:ilvl="1" w:tplc="FFFFFFFF">
      <w:start w:val="1"/>
      <w:numFmt w:val="lowerLetter"/>
      <w:lvlText w:val="%2."/>
      <w:lvlJc w:val="left"/>
      <w:pPr>
        <w:ind w:left="1267" w:hanging="360"/>
      </w:pPr>
    </w:lvl>
    <w:lvl w:ilvl="2" w:tplc="FFFFFFFF" w:tentative="1">
      <w:start w:val="1"/>
      <w:numFmt w:val="lowerRoman"/>
      <w:lvlText w:val="%3."/>
      <w:lvlJc w:val="right"/>
      <w:pPr>
        <w:ind w:left="1987" w:hanging="180"/>
      </w:pPr>
    </w:lvl>
    <w:lvl w:ilvl="3" w:tplc="FFFFFFFF" w:tentative="1">
      <w:start w:val="1"/>
      <w:numFmt w:val="decimal"/>
      <w:lvlText w:val="%4."/>
      <w:lvlJc w:val="left"/>
      <w:pPr>
        <w:ind w:left="2707" w:hanging="360"/>
      </w:pPr>
    </w:lvl>
    <w:lvl w:ilvl="4" w:tplc="FFFFFFFF" w:tentative="1">
      <w:start w:val="1"/>
      <w:numFmt w:val="lowerLetter"/>
      <w:lvlText w:val="%5."/>
      <w:lvlJc w:val="left"/>
      <w:pPr>
        <w:ind w:left="3427" w:hanging="360"/>
      </w:pPr>
    </w:lvl>
    <w:lvl w:ilvl="5" w:tplc="FFFFFFFF" w:tentative="1">
      <w:start w:val="1"/>
      <w:numFmt w:val="lowerRoman"/>
      <w:lvlText w:val="%6."/>
      <w:lvlJc w:val="right"/>
      <w:pPr>
        <w:ind w:left="4147" w:hanging="180"/>
      </w:pPr>
    </w:lvl>
    <w:lvl w:ilvl="6" w:tplc="FFFFFFFF" w:tentative="1">
      <w:start w:val="1"/>
      <w:numFmt w:val="decimal"/>
      <w:lvlText w:val="%7."/>
      <w:lvlJc w:val="left"/>
      <w:pPr>
        <w:ind w:left="4867" w:hanging="360"/>
      </w:pPr>
    </w:lvl>
    <w:lvl w:ilvl="7" w:tplc="FFFFFFFF" w:tentative="1">
      <w:start w:val="1"/>
      <w:numFmt w:val="lowerLetter"/>
      <w:lvlText w:val="%8."/>
      <w:lvlJc w:val="left"/>
      <w:pPr>
        <w:ind w:left="5587" w:hanging="360"/>
      </w:pPr>
    </w:lvl>
    <w:lvl w:ilvl="8" w:tplc="FFFFFFFF" w:tentative="1">
      <w:start w:val="1"/>
      <w:numFmt w:val="lowerRoman"/>
      <w:lvlText w:val="%9."/>
      <w:lvlJc w:val="right"/>
      <w:pPr>
        <w:ind w:left="6307" w:hanging="180"/>
      </w:pPr>
    </w:lvl>
  </w:abstractNum>
  <w:abstractNum w:abstractNumId="7"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15:restartNumberingAfterBreak="0">
    <w:nsid w:val="78634130"/>
    <w:multiLevelType w:val="hybridMultilevel"/>
    <w:tmpl w:val="3C2CEB58"/>
    <w:lvl w:ilvl="0" w:tplc="446A0F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7A8B6758"/>
    <w:multiLevelType w:val="hybridMultilevel"/>
    <w:tmpl w:val="DDC44D7E"/>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
  </w:num>
  <w:num w:numId="3">
    <w:abstractNumId w:val="3"/>
  </w:num>
  <w:num w:numId="4">
    <w:abstractNumId w:val="0"/>
  </w:num>
  <w:num w:numId="5">
    <w:abstractNumId w:val="7"/>
  </w:num>
  <w:num w:numId="6">
    <w:abstractNumId w:val="8"/>
  </w:num>
  <w:num w:numId="7">
    <w:abstractNumId w:val="2"/>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63"/>
    <w:rsid w:val="00037A10"/>
    <w:rsid w:val="00043A21"/>
    <w:rsid w:val="00050C51"/>
    <w:rsid w:val="000618CC"/>
    <w:rsid w:val="000876D6"/>
    <w:rsid w:val="00092792"/>
    <w:rsid w:val="000A704F"/>
    <w:rsid w:val="000B4BFD"/>
    <w:rsid w:val="000D7CEE"/>
    <w:rsid w:val="00105A31"/>
    <w:rsid w:val="0010675F"/>
    <w:rsid w:val="00107904"/>
    <w:rsid w:val="00127806"/>
    <w:rsid w:val="00150F6C"/>
    <w:rsid w:val="00154A6A"/>
    <w:rsid w:val="001712FF"/>
    <w:rsid w:val="00174072"/>
    <w:rsid w:val="00197459"/>
    <w:rsid w:val="001B4F0C"/>
    <w:rsid w:val="001F565E"/>
    <w:rsid w:val="0021489B"/>
    <w:rsid w:val="0024697B"/>
    <w:rsid w:val="002757DB"/>
    <w:rsid w:val="002923CE"/>
    <w:rsid w:val="002A5DD0"/>
    <w:rsid w:val="002B559C"/>
    <w:rsid w:val="002D2626"/>
    <w:rsid w:val="002D56AE"/>
    <w:rsid w:val="00320570"/>
    <w:rsid w:val="003732B0"/>
    <w:rsid w:val="00380AEC"/>
    <w:rsid w:val="00382F23"/>
    <w:rsid w:val="00386039"/>
    <w:rsid w:val="00411E24"/>
    <w:rsid w:val="004144D0"/>
    <w:rsid w:val="00433EA6"/>
    <w:rsid w:val="004717CB"/>
    <w:rsid w:val="004B1007"/>
    <w:rsid w:val="004E2D7A"/>
    <w:rsid w:val="004F2C80"/>
    <w:rsid w:val="004F7DB8"/>
    <w:rsid w:val="00500EA9"/>
    <w:rsid w:val="0050775D"/>
    <w:rsid w:val="0054635C"/>
    <w:rsid w:val="005736B1"/>
    <w:rsid w:val="005749E3"/>
    <w:rsid w:val="00586DED"/>
    <w:rsid w:val="005906FF"/>
    <w:rsid w:val="0059687B"/>
    <w:rsid w:val="00596931"/>
    <w:rsid w:val="005A12FB"/>
    <w:rsid w:val="005A44E5"/>
    <w:rsid w:val="005B3714"/>
    <w:rsid w:val="005D7538"/>
    <w:rsid w:val="005F7C42"/>
    <w:rsid w:val="0062637F"/>
    <w:rsid w:val="0064258B"/>
    <w:rsid w:val="00663268"/>
    <w:rsid w:val="00686095"/>
    <w:rsid w:val="006A6F80"/>
    <w:rsid w:val="006A7123"/>
    <w:rsid w:val="006A752F"/>
    <w:rsid w:val="006E3C9B"/>
    <w:rsid w:val="006F13C2"/>
    <w:rsid w:val="00713AAB"/>
    <w:rsid w:val="00721A4C"/>
    <w:rsid w:val="007839CB"/>
    <w:rsid w:val="00784F69"/>
    <w:rsid w:val="007A0B2F"/>
    <w:rsid w:val="007A6AEA"/>
    <w:rsid w:val="007C0BCF"/>
    <w:rsid w:val="007C529E"/>
    <w:rsid w:val="007D6AF7"/>
    <w:rsid w:val="00822418"/>
    <w:rsid w:val="008E77D3"/>
    <w:rsid w:val="00914E83"/>
    <w:rsid w:val="0094444D"/>
    <w:rsid w:val="009735B8"/>
    <w:rsid w:val="009A7ADA"/>
    <w:rsid w:val="009B36DA"/>
    <w:rsid w:val="009C7F8F"/>
    <w:rsid w:val="009F65E7"/>
    <w:rsid w:val="00A00F85"/>
    <w:rsid w:val="00A22376"/>
    <w:rsid w:val="00A36AEB"/>
    <w:rsid w:val="00A50F4B"/>
    <w:rsid w:val="00A60240"/>
    <w:rsid w:val="00A9070B"/>
    <w:rsid w:val="00A97BA8"/>
    <w:rsid w:val="00AB47BD"/>
    <w:rsid w:val="00AB5049"/>
    <w:rsid w:val="00AC21A0"/>
    <w:rsid w:val="00AF5FA2"/>
    <w:rsid w:val="00B06BF7"/>
    <w:rsid w:val="00B175AE"/>
    <w:rsid w:val="00B314E2"/>
    <w:rsid w:val="00B4431F"/>
    <w:rsid w:val="00B9690C"/>
    <w:rsid w:val="00BD3CAA"/>
    <w:rsid w:val="00BD462B"/>
    <w:rsid w:val="00BF1E75"/>
    <w:rsid w:val="00BF72A8"/>
    <w:rsid w:val="00C069E0"/>
    <w:rsid w:val="00C10EFA"/>
    <w:rsid w:val="00C33BBB"/>
    <w:rsid w:val="00C40A5B"/>
    <w:rsid w:val="00C447D6"/>
    <w:rsid w:val="00C61918"/>
    <w:rsid w:val="00C63EC9"/>
    <w:rsid w:val="00C6798F"/>
    <w:rsid w:val="00C82383"/>
    <w:rsid w:val="00C83B13"/>
    <w:rsid w:val="00C85E44"/>
    <w:rsid w:val="00CB6463"/>
    <w:rsid w:val="00CC2D1F"/>
    <w:rsid w:val="00CD3D9A"/>
    <w:rsid w:val="00D05799"/>
    <w:rsid w:val="00D10E83"/>
    <w:rsid w:val="00D14A1E"/>
    <w:rsid w:val="00D26C10"/>
    <w:rsid w:val="00D37BBA"/>
    <w:rsid w:val="00D432CD"/>
    <w:rsid w:val="00D560B2"/>
    <w:rsid w:val="00D735E6"/>
    <w:rsid w:val="00DA72AF"/>
    <w:rsid w:val="00DB19B8"/>
    <w:rsid w:val="00DC0C63"/>
    <w:rsid w:val="00DC558E"/>
    <w:rsid w:val="00E11643"/>
    <w:rsid w:val="00E306EC"/>
    <w:rsid w:val="00E50B0E"/>
    <w:rsid w:val="00E51F72"/>
    <w:rsid w:val="00E53F76"/>
    <w:rsid w:val="00E57CAF"/>
    <w:rsid w:val="00E63BBE"/>
    <w:rsid w:val="00E85517"/>
    <w:rsid w:val="00E90AB1"/>
    <w:rsid w:val="00EF0403"/>
    <w:rsid w:val="00EF323E"/>
    <w:rsid w:val="00EF46FC"/>
    <w:rsid w:val="00EF6995"/>
    <w:rsid w:val="00F36A55"/>
    <w:rsid w:val="00F86ECA"/>
    <w:rsid w:val="00F96C2D"/>
    <w:rsid w:val="00F97E1B"/>
    <w:rsid w:val="00FC2C6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6238510"/>
  <w14:defaultImageDpi w14:val="300"/>
  <w15:chartTrackingRefBased/>
  <w15:docId w15:val="{6D0960AD-4979-45DB-864F-94EE2888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eastAsia="Times New Roman"/>
      <w:sz w:val="24"/>
    </w:rPr>
  </w:style>
  <w:style w:type="paragraph" w:styleId="Heading1">
    <w:name w:val="heading 1"/>
    <w:basedOn w:val="Normal"/>
    <w:next w:val="Normal"/>
    <w:link w:val="Heading1Char"/>
    <w:qFormat/>
    <w:rsid w:val="00320570"/>
    <w:pPr>
      <w:keepNext/>
      <w:widowControl w:val="0"/>
      <w:pBdr>
        <w:top w:val="single" w:sz="4" w:space="1" w:color="auto"/>
      </w:pBdr>
      <w:tabs>
        <w:tab w:val="left" w:pos="-576"/>
        <w:tab w:val="left" w:pos="0"/>
        <w:tab w:val="left" w:pos="864"/>
        <w:tab w:val="left" w:pos="3114"/>
        <w:tab w:val="left" w:pos="3600"/>
        <w:tab w:val="left" w:pos="4080"/>
        <w:tab w:val="left" w:pos="5040"/>
      </w:tabs>
      <w:autoSpaceDE/>
      <w:autoSpaceDN/>
      <w:outlineLvl w:val="0"/>
    </w:pPr>
    <w:rPr>
      <w:rFonts w:ascii="Times New Roman" w:hAnsi="Times New Roman"/>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WPWPDefaults"/>
    <w:pPr>
      <w:jc w:val="both"/>
    </w:pPr>
    <w:rPr>
      <w:rFonts w:ascii="New Century Schlbk" w:hAnsi="New Century Schlbk"/>
      <w:color w:val="000000"/>
    </w:rPr>
  </w:style>
  <w:style w:type="paragraph" w:customStyle="1" w:styleId="WPWPDefaults">
    <w:name w:val="WP_WP Defaults"/>
    <w:pPr>
      <w:widowControl w:val="0"/>
      <w:autoSpaceDE w:val="0"/>
      <w:autoSpaceDN w:val="0"/>
    </w:pPr>
    <w:rPr>
      <w:rFonts w:ascii="Geneva" w:eastAsia="Times New Roman" w:hAnsi="Geneva"/>
      <w:sz w:val="24"/>
    </w:rPr>
  </w:style>
  <w:style w:type="paragraph" w:customStyle="1" w:styleId="Default">
    <w:name w:val="Default"/>
    <w:pPr>
      <w:widowControl w:val="0"/>
      <w:autoSpaceDE w:val="0"/>
      <w:autoSpaceDN w:val="0"/>
      <w:adjustRightInd w:val="0"/>
    </w:pPr>
    <w:rPr>
      <w:rFonts w:ascii="Times New Roman" w:eastAsia="Times New Roman" w:hAnsi="Times New Roman"/>
      <w:sz w:val="24"/>
    </w:rPr>
  </w:style>
  <w:style w:type="paragraph" w:styleId="Header">
    <w:name w:val="header"/>
    <w:basedOn w:val="Normal"/>
    <w:link w:val="HeaderChar"/>
    <w:uiPriority w:val="99"/>
    <w:unhideWhenUsed/>
    <w:rsid w:val="00BF1E75"/>
    <w:pPr>
      <w:tabs>
        <w:tab w:val="center" w:pos="4680"/>
        <w:tab w:val="right" w:pos="9360"/>
      </w:tabs>
    </w:pPr>
  </w:style>
  <w:style w:type="character" w:customStyle="1" w:styleId="HeaderChar">
    <w:name w:val="Header Char"/>
    <w:link w:val="Header"/>
    <w:uiPriority w:val="99"/>
    <w:rsid w:val="00BF1E75"/>
    <w:rPr>
      <w:rFonts w:eastAsia="Times New Roman"/>
      <w:sz w:val="24"/>
    </w:rPr>
  </w:style>
  <w:style w:type="paragraph" w:styleId="Footer">
    <w:name w:val="footer"/>
    <w:basedOn w:val="Normal"/>
    <w:link w:val="FooterChar"/>
    <w:uiPriority w:val="99"/>
    <w:unhideWhenUsed/>
    <w:rsid w:val="00BF1E75"/>
    <w:pPr>
      <w:tabs>
        <w:tab w:val="center" w:pos="4680"/>
        <w:tab w:val="right" w:pos="9360"/>
      </w:tabs>
    </w:pPr>
  </w:style>
  <w:style w:type="character" w:customStyle="1" w:styleId="FooterChar">
    <w:name w:val="Footer Char"/>
    <w:link w:val="Footer"/>
    <w:uiPriority w:val="99"/>
    <w:rsid w:val="00BF1E75"/>
    <w:rPr>
      <w:rFonts w:eastAsia="Times New Roman"/>
      <w:sz w:val="24"/>
    </w:rPr>
  </w:style>
  <w:style w:type="paragraph" w:customStyle="1" w:styleId="A">
    <w:name w:val="A."/>
    <w:basedOn w:val="Normal"/>
    <w:rsid w:val="0064258B"/>
    <w:pPr>
      <w:tabs>
        <w:tab w:val="left" w:pos="187"/>
        <w:tab w:val="left" w:pos="540"/>
        <w:tab w:val="left" w:pos="4500"/>
        <w:tab w:val="left" w:pos="4680"/>
        <w:tab w:val="left" w:pos="4860"/>
        <w:tab w:val="left" w:pos="5040"/>
        <w:tab w:val="left" w:pos="7200"/>
      </w:tabs>
      <w:autoSpaceDE/>
      <w:autoSpaceDN/>
      <w:spacing w:after="120"/>
      <w:ind w:firstLine="187"/>
      <w:jc w:val="both"/>
      <w:outlineLvl w:val="3"/>
    </w:pPr>
    <w:rPr>
      <w:rFonts w:ascii="Times New Roman" w:hAnsi="Times New Roman"/>
      <w:kern w:val="2"/>
      <w:sz w:val="20"/>
    </w:rPr>
  </w:style>
  <w:style w:type="paragraph" w:styleId="ListParagraph">
    <w:name w:val="List Paragraph"/>
    <w:basedOn w:val="Normal"/>
    <w:uiPriority w:val="72"/>
    <w:qFormat/>
    <w:rsid w:val="00411E24"/>
    <w:pPr>
      <w:ind w:left="720"/>
      <w:contextualSpacing/>
    </w:pPr>
  </w:style>
  <w:style w:type="paragraph" w:styleId="BalloonText">
    <w:name w:val="Balloon Text"/>
    <w:basedOn w:val="Normal"/>
    <w:link w:val="BalloonTextChar"/>
    <w:uiPriority w:val="99"/>
    <w:semiHidden/>
    <w:unhideWhenUsed/>
    <w:rsid w:val="009A7A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D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82F23"/>
    <w:rPr>
      <w:sz w:val="16"/>
      <w:szCs w:val="16"/>
    </w:rPr>
  </w:style>
  <w:style w:type="paragraph" w:styleId="CommentText">
    <w:name w:val="annotation text"/>
    <w:basedOn w:val="Normal"/>
    <w:link w:val="CommentTextChar"/>
    <w:uiPriority w:val="99"/>
    <w:semiHidden/>
    <w:unhideWhenUsed/>
    <w:rsid w:val="00382F23"/>
    <w:rPr>
      <w:sz w:val="20"/>
    </w:rPr>
  </w:style>
  <w:style w:type="character" w:customStyle="1" w:styleId="CommentTextChar">
    <w:name w:val="Comment Text Char"/>
    <w:basedOn w:val="DefaultParagraphFont"/>
    <w:link w:val="CommentText"/>
    <w:uiPriority w:val="99"/>
    <w:semiHidden/>
    <w:rsid w:val="00382F23"/>
    <w:rPr>
      <w:rFonts w:eastAsia="Times New Roman"/>
    </w:rPr>
  </w:style>
  <w:style w:type="paragraph" w:styleId="CommentSubject">
    <w:name w:val="annotation subject"/>
    <w:basedOn w:val="CommentText"/>
    <w:next w:val="CommentText"/>
    <w:link w:val="CommentSubjectChar"/>
    <w:uiPriority w:val="99"/>
    <w:semiHidden/>
    <w:unhideWhenUsed/>
    <w:rsid w:val="00382F23"/>
    <w:rPr>
      <w:b/>
      <w:bCs/>
    </w:rPr>
  </w:style>
  <w:style w:type="character" w:customStyle="1" w:styleId="CommentSubjectChar">
    <w:name w:val="Comment Subject Char"/>
    <w:basedOn w:val="CommentTextChar"/>
    <w:link w:val="CommentSubject"/>
    <w:uiPriority w:val="99"/>
    <w:semiHidden/>
    <w:rsid w:val="00382F23"/>
    <w:rPr>
      <w:rFonts w:eastAsia="Times New Roman"/>
      <w:b/>
      <w:bCs/>
    </w:rPr>
  </w:style>
  <w:style w:type="paragraph" w:styleId="Revision">
    <w:name w:val="Revision"/>
    <w:hidden/>
    <w:uiPriority w:val="71"/>
    <w:rsid w:val="00382F23"/>
    <w:rPr>
      <w:rFonts w:eastAsia="Times New Roman"/>
      <w:sz w:val="24"/>
    </w:rPr>
  </w:style>
  <w:style w:type="character" w:customStyle="1" w:styleId="Heading1Char">
    <w:name w:val="Heading 1 Char"/>
    <w:basedOn w:val="DefaultParagraphFont"/>
    <w:link w:val="Heading1"/>
    <w:rsid w:val="00320570"/>
    <w:rPr>
      <w:rFonts w:ascii="Times New Roman" w:eastAsia="Times New Roman" w:hAnsi="Times New Roman"/>
      <w:snapToGrid w:val="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4E8EF-55E0-414E-B197-3F2C5CDAB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1404</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FISCAL AND ECONOMIC IMPACT STATEMENT</vt:lpstr>
    </vt:vector>
  </TitlesOfParts>
  <Company>La. State Legislative Fiscal Office</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AND ECONOMIC IMPACT STATEMENT</dc:title>
  <dc:subject/>
  <dc:creator>Legislative Fiscal Staff</dc:creator>
  <cp:keywords/>
  <cp:lastModifiedBy>Laura Almond</cp:lastModifiedBy>
  <cp:revision>3</cp:revision>
  <cp:lastPrinted>2023-09-05T19:47:00Z</cp:lastPrinted>
  <dcterms:created xsi:type="dcterms:W3CDTF">2023-12-07T18:39:00Z</dcterms:created>
  <dcterms:modified xsi:type="dcterms:W3CDTF">2023-12-07T18:40:00Z</dcterms:modified>
</cp:coreProperties>
</file>