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E09A5" w14:textId="77777777" w:rsidR="001C080D" w:rsidRPr="001C080D" w:rsidRDefault="001C080D" w:rsidP="001C080D">
      <w:pPr>
        <w:jc w:val="center"/>
        <w:rPr>
          <w:rFonts w:ascii="Times New Roman" w:eastAsia="Times New Roman" w:hAnsi="Times New Roman" w:cs="Times New Roman"/>
          <w:szCs w:val="20"/>
        </w:rPr>
      </w:pPr>
      <w:bookmarkStart w:id="0" w:name="_GoBack"/>
      <w:bookmarkEnd w:id="0"/>
      <w:r w:rsidRPr="001C080D">
        <w:rPr>
          <w:rFonts w:ascii="Times New Roman" w:eastAsia="Times New Roman" w:hAnsi="Times New Roman" w:cs="Times New Roman"/>
          <w:szCs w:val="20"/>
        </w:rPr>
        <w:t>NOTICE OF INTENT</w:t>
      </w:r>
    </w:p>
    <w:p w14:paraId="5594B377" w14:textId="77777777" w:rsidR="001C080D" w:rsidRPr="001C080D" w:rsidRDefault="001C080D" w:rsidP="001C080D">
      <w:pPr>
        <w:jc w:val="center"/>
        <w:rPr>
          <w:rFonts w:ascii="Times New Roman" w:eastAsia="Times New Roman" w:hAnsi="Times New Roman" w:cs="Times New Roman"/>
          <w:szCs w:val="20"/>
        </w:rPr>
      </w:pPr>
    </w:p>
    <w:p w14:paraId="44B5C2BB"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szCs w:val="20"/>
        </w:rPr>
        <w:t>Department of Environmental Quality</w:t>
      </w:r>
    </w:p>
    <w:p w14:paraId="0BFC6C5C"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szCs w:val="20"/>
        </w:rPr>
        <w:t>Office of the Secretary</w:t>
      </w:r>
    </w:p>
    <w:p w14:paraId="6DD5B287"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szCs w:val="20"/>
        </w:rPr>
        <w:t>Legal Affairs and Criminal Investigations Division</w:t>
      </w:r>
    </w:p>
    <w:p w14:paraId="3A2ECC38" w14:textId="77777777" w:rsidR="001C080D" w:rsidRPr="001C080D" w:rsidRDefault="001C080D" w:rsidP="001C080D">
      <w:pPr>
        <w:jc w:val="center"/>
        <w:rPr>
          <w:rFonts w:ascii="Times New Roman" w:eastAsia="Times New Roman" w:hAnsi="Times New Roman" w:cs="Times New Roman"/>
          <w:szCs w:val="20"/>
        </w:rPr>
      </w:pPr>
    </w:p>
    <w:p w14:paraId="305D5ED4"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noProof/>
          <w:szCs w:val="20"/>
        </w:rPr>
        <w:t>Delisting Exclusion of Solvents/EDC Process Wastewater Effluent and Solvents East Ditch Sediment from Hazardous Waste for The Dow Chemical Company, Plaquemine</w:t>
      </w:r>
    </w:p>
    <w:p w14:paraId="090BC6BB"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szCs w:val="20"/>
        </w:rPr>
        <w:t>(</w:t>
      </w:r>
      <w:r w:rsidRPr="001C080D">
        <w:rPr>
          <w:rFonts w:ascii="Times New Roman" w:eastAsia="Times New Roman" w:hAnsi="Times New Roman" w:cs="Times New Roman"/>
          <w:noProof/>
          <w:szCs w:val="20"/>
        </w:rPr>
        <w:t>LAC 33:V.4999.Appendix E</w:t>
      </w:r>
      <w:r w:rsidRPr="001C080D">
        <w:rPr>
          <w:rFonts w:ascii="Times New Roman" w:eastAsia="Times New Roman" w:hAnsi="Times New Roman" w:cs="Times New Roman"/>
          <w:szCs w:val="20"/>
        </w:rPr>
        <w:t>) (</w:t>
      </w:r>
      <w:r w:rsidRPr="001C080D">
        <w:rPr>
          <w:rFonts w:ascii="Times New Roman" w:eastAsia="Times New Roman" w:hAnsi="Times New Roman" w:cs="Times New Roman"/>
          <w:noProof/>
          <w:szCs w:val="20"/>
        </w:rPr>
        <w:t>HW125</w:t>
      </w:r>
      <w:r w:rsidRPr="001C080D">
        <w:rPr>
          <w:rFonts w:ascii="Times New Roman" w:eastAsia="Times New Roman" w:hAnsi="Times New Roman" w:cs="Times New Roman"/>
          <w:szCs w:val="20"/>
        </w:rPr>
        <w:t>)</w:t>
      </w:r>
    </w:p>
    <w:p w14:paraId="23D3B400" w14:textId="77777777" w:rsidR="001C080D" w:rsidRPr="001C080D" w:rsidRDefault="001C080D" w:rsidP="001C080D">
      <w:pPr>
        <w:jc w:val="center"/>
        <w:rPr>
          <w:rFonts w:ascii="Times New Roman" w:eastAsia="Times New Roman" w:hAnsi="Times New Roman" w:cs="Times New Roman"/>
          <w:szCs w:val="20"/>
        </w:rPr>
      </w:pPr>
    </w:p>
    <w:p w14:paraId="0BAD2318" w14:textId="77777777" w:rsidR="001C080D" w:rsidRPr="001C080D" w:rsidRDefault="001C080D" w:rsidP="001C080D">
      <w:pPr>
        <w:rPr>
          <w:rFonts w:ascii="Times New Roman" w:eastAsia="Times New Roman" w:hAnsi="Times New Roman" w:cs="Times New Roman"/>
          <w:szCs w:val="20"/>
        </w:rPr>
      </w:pPr>
      <w:r w:rsidRPr="001C080D">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C080D">
        <w:rPr>
          <w:rFonts w:ascii="Times New Roman" w:eastAsia="Times New Roman" w:hAnsi="Times New Roman" w:cs="Times New Roman"/>
          <w:noProof/>
          <w:szCs w:val="20"/>
        </w:rPr>
        <w:t>Hazardous Waste</w:t>
      </w:r>
      <w:r w:rsidRPr="001C080D">
        <w:rPr>
          <w:rFonts w:ascii="Times New Roman" w:eastAsia="Times New Roman" w:hAnsi="Times New Roman" w:cs="Times New Roman"/>
          <w:szCs w:val="20"/>
        </w:rPr>
        <w:t xml:space="preserve"> regulations, </w:t>
      </w:r>
      <w:r w:rsidRPr="001C080D">
        <w:rPr>
          <w:rFonts w:ascii="Times New Roman" w:eastAsia="Times New Roman" w:hAnsi="Times New Roman" w:cs="Times New Roman"/>
          <w:noProof/>
          <w:szCs w:val="20"/>
        </w:rPr>
        <w:t>LAC 33:V.4999.Appendix E</w:t>
      </w:r>
      <w:r w:rsidRPr="001C080D">
        <w:rPr>
          <w:rFonts w:ascii="Times New Roman" w:eastAsia="Times New Roman" w:hAnsi="Times New Roman" w:cs="Times New Roman"/>
          <w:szCs w:val="20"/>
        </w:rPr>
        <w:t xml:space="preserve"> (</w:t>
      </w:r>
      <w:r w:rsidRPr="001C080D">
        <w:rPr>
          <w:rFonts w:ascii="Times New Roman" w:eastAsia="Times New Roman" w:hAnsi="Times New Roman" w:cs="Times New Roman"/>
          <w:noProof/>
          <w:szCs w:val="20"/>
        </w:rPr>
        <w:t>HW125</w:t>
      </w:r>
      <w:r w:rsidRPr="001C080D">
        <w:rPr>
          <w:rFonts w:ascii="Times New Roman" w:eastAsia="Times New Roman" w:hAnsi="Times New Roman" w:cs="Times New Roman"/>
          <w:szCs w:val="20"/>
        </w:rPr>
        <w:t>).</w:t>
      </w:r>
    </w:p>
    <w:p w14:paraId="0C2800F3" w14:textId="77777777" w:rsidR="001C080D" w:rsidRPr="001C080D" w:rsidRDefault="001C080D" w:rsidP="001C080D">
      <w:pPr>
        <w:rPr>
          <w:rFonts w:ascii="Times New Roman" w:eastAsia="Times New Roman" w:hAnsi="Times New Roman" w:cs="Times New Roman"/>
          <w:szCs w:val="20"/>
        </w:rPr>
      </w:pPr>
    </w:p>
    <w:p w14:paraId="75B92AB6" w14:textId="77777777" w:rsidR="001C080D" w:rsidRPr="001C080D" w:rsidRDefault="001C080D" w:rsidP="001C080D">
      <w:pPr>
        <w:rPr>
          <w:rFonts w:ascii="Times New Roman" w:eastAsia="Times New Roman" w:hAnsi="Times New Roman" w:cs="Times New Roman"/>
          <w:noProof/>
          <w:szCs w:val="20"/>
        </w:rPr>
      </w:pPr>
      <w:r w:rsidRPr="001C080D">
        <w:rPr>
          <w:rFonts w:ascii="Times New Roman" w:eastAsia="Times New Roman" w:hAnsi="Times New Roman" w:cs="Times New Roman"/>
          <w:szCs w:val="20"/>
        </w:rPr>
        <w:tab/>
      </w:r>
      <w:r w:rsidRPr="001C080D">
        <w:rPr>
          <w:rFonts w:ascii="Times New Roman" w:eastAsia="Times New Roman" w:hAnsi="Times New Roman" w:cs="Times New Roman"/>
          <w:noProof/>
          <w:szCs w:val="20"/>
        </w:rPr>
        <w:t>The proposed Rule will delist solvents/EDC process wastewater effluent and solvents east ditch sediment from certain EPA hazardous waste number categories and will establish monitoring conditions to maintain the delisting status. The proposed rulemaking will acknowledge LDEQ’s acceptance of Dow’s delisting exclusion petition submitted to fulfill a requirement in a Consent Agreement and Final Order (CAFO) with EPA issued per Docket No. RCRA-06-2010-0933.</w:t>
      </w:r>
    </w:p>
    <w:p w14:paraId="5BA89069" w14:textId="77777777" w:rsidR="001C080D" w:rsidRPr="001C080D" w:rsidRDefault="001C080D" w:rsidP="001C080D">
      <w:pPr>
        <w:rPr>
          <w:rFonts w:ascii="Times New Roman" w:eastAsia="Times New Roman" w:hAnsi="Times New Roman" w:cs="Times New Roman"/>
          <w:noProof/>
          <w:szCs w:val="20"/>
        </w:rPr>
      </w:pPr>
    </w:p>
    <w:p w14:paraId="6CB8F591" w14:textId="77777777" w:rsidR="001C080D" w:rsidRPr="001C080D" w:rsidRDefault="001C080D" w:rsidP="001C080D">
      <w:pPr>
        <w:ind w:firstLine="720"/>
        <w:rPr>
          <w:rFonts w:ascii="Times New Roman" w:eastAsia="Times New Roman" w:hAnsi="Times New Roman" w:cs="Times New Roman"/>
          <w:szCs w:val="20"/>
        </w:rPr>
      </w:pPr>
      <w:r w:rsidRPr="001C080D">
        <w:rPr>
          <w:rFonts w:ascii="Times New Roman" w:eastAsia="Times New Roman" w:hAnsi="Times New Roman" w:cs="Times New Roman"/>
          <w:noProof/>
          <w:szCs w:val="20"/>
        </w:rPr>
        <w:t>Prior to October 5, 2015, The Dow Chemical Company owned and operated the hazardous waste incinerator (F-700) in the solvents/EDC production unit, now owned and operated by Olin Corporation (Blue Cube Operations, LLC). A wet scrubber system treats incinerator combustion gas and generates an aqueous effluent waste that carries the same hazardous waste category numbers as the waste treated in the incinerator. The scrubber effluent waste discharges to a lined ditch and then to an unlined ditch (solvents east ditch) through an LPDES permitted point (Outfall 201). In accordance with the CAFO, Dow chose to pursue a waste delisting option under LDEQ oversight for both the solvents/EDC process wastewater effluent. and solvents east ditch sediment (in situ).</w:t>
      </w:r>
      <w:r w:rsidRPr="001C080D">
        <w:rPr>
          <w:rFonts w:ascii="Times New Roman" w:eastAsia="Times New Roman" w:hAnsi="Times New Roman" w:cs="Times New Roman"/>
          <w:szCs w:val="20"/>
        </w:rPr>
        <w:t xml:space="preserve"> </w:t>
      </w:r>
      <w:r w:rsidRPr="001C080D">
        <w:rPr>
          <w:rFonts w:ascii="Times New Roman" w:eastAsia="Times New Roman" w:hAnsi="Times New Roman" w:cs="Times New Roman"/>
          <w:noProof/>
          <w:szCs w:val="20"/>
        </w:rPr>
        <w:t>The basis and rationale for this proposed Rule are based on an evaluation of the information provided by the petitioner, including the analytical data, and the department’s analysis of the information,including results of the Delisting Risk Assessment Software assessment. LDEQ found this initial petition to be deficient for determining delisting eligibility for all requested waste codes affecting the solvents east ditch sediment. After further sampling and analysis, Dow submitted a petition addendum on February 21, 2018, which satisfactorily demonstrated that both waste streams were eligible for delisting.</w:t>
      </w:r>
      <w:r w:rsidRPr="001C080D">
        <w:rPr>
          <w:rFonts w:ascii="Times New Roman" w:eastAsia="Times New Roman" w:hAnsi="Times New Roman" w:cs="Times New Roman"/>
          <w:szCs w:val="20"/>
        </w:rPr>
        <w:t xml:space="preserve">  This Rule meets an exception listed in R.S. 30:2019(D</w:t>
      </w:r>
      <w:proofErr w:type="gramStart"/>
      <w:r w:rsidRPr="001C080D">
        <w:rPr>
          <w:rFonts w:ascii="Times New Roman" w:eastAsia="Times New Roman" w:hAnsi="Times New Roman" w:cs="Times New Roman"/>
          <w:szCs w:val="20"/>
        </w:rPr>
        <w:t>)(</w:t>
      </w:r>
      <w:proofErr w:type="gramEnd"/>
      <w:r w:rsidRPr="001C080D">
        <w:rPr>
          <w:rFonts w:ascii="Times New Roman" w:eastAsia="Times New Roman" w:hAnsi="Times New Roman" w:cs="Times New Roman"/>
          <w:szCs w:val="20"/>
        </w:rPr>
        <w:t>2) and R.S. 49:963.B(3); therefore, no report regarding environmental/health benefits and social/economic costs is required.</w:t>
      </w:r>
    </w:p>
    <w:p w14:paraId="0EB1AB53" w14:textId="77777777" w:rsidR="001C080D" w:rsidRPr="001C080D" w:rsidRDefault="001C080D" w:rsidP="001C080D">
      <w:pPr>
        <w:rPr>
          <w:rFonts w:ascii="Times New Roman" w:eastAsia="Times New Roman" w:hAnsi="Times New Roman" w:cs="Times New Roman"/>
          <w:szCs w:val="20"/>
        </w:rPr>
      </w:pPr>
    </w:p>
    <w:p w14:paraId="51063524"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b/>
          <w:szCs w:val="20"/>
        </w:rPr>
        <w:t>Family Impact Statement</w:t>
      </w:r>
    </w:p>
    <w:p w14:paraId="76318370" w14:textId="77777777" w:rsidR="001C080D" w:rsidRPr="001C080D" w:rsidRDefault="001C080D" w:rsidP="001C080D">
      <w:pPr>
        <w:ind w:firstLine="720"/>
        <w:rPr>
          <w:rFonts w:ascii="Times New Roman" w:eastAsia="Times New Roman" w:hAnsi="Times New Roman" w:cs="Times New Roman"/>
          <w:szCs w:val="20"/>
        </w:rPr>
      </w:pPr>
      <w:r w:rsidRPr="001C080D">
        <w:rPr>
          <w:rFonts w:ascii="Times New Roman" w:eastAsia="Times New Roman" w:hAnsi="Times New Roman" w:cs="Times New Roman"/>
          <w:szCs w:val="20"/>
        </w:rPr>
        <w:t>This Rule has no known impact on family formation, stability, and autonomy as described in R.S. 49:972.</w:t>
      </w:r>
    </w:p>
    <w:p w14:paraId="648C45F6"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b/>
          <w:szCs w:val="20"/>
        </w:rPr>
        <w:t>Poverty Impact Statement</w:t>
      </w:r>
    </w:p>
    <w:p w14:paraId="7464EC52" w14:textId="77777777" w:rsidR="001C080D" w:rsidRPr="001C080D" w:rsidRDefault="001C080D" w:rsidP="001C080D">
      <w:pPr>
        <w:ind w:firstLine="720"/>
        <w:rPr>
          <w:rFonts w:ascii="Times New Roman" w:eastAsia="Times New Roman" w:hAnsi="Times New Roman" w:cs="Times New Roman"/>
          <w:color w:val="000000"/>
        </w:rPr>
      </w:pPr>
      <w:r w:rsidRPr="001C080D">
        <w:rPr>
          <w:rFonts w:ascii="Times New Roman" w:eastAsia="Times New Roman" w:hAnsi="Times New Roman" w:cs="Times New Roman"/>
        </w:rPr>
        <w:t xml:space="preserve">This Rule has no known impact on </w:t>
      </w:r>
      <w:r w:rsidRPr="001C080D">
        <w:rPr>
          <w:rFonts w:ascii="Times New Roman" w:eastAsia="Times New Roman" w:hAnsi="Times New Roman" w:cs="Times New Roman"/>
          <w:color w:val="000000"/>
        </w:rPr>
        <w:t>poverty as described in R.S. 49:973.</w:t>
      </w:r>
    </w:p>
    <w:p w14:paraId="5ECAEC97" w14:textId="77777777" w:rsidR="001C080D" w:rsidRPr="001C080D" w:rsidRDefault="001C080D" w:rsidP="001C080D">
      <w:pPr>
        <w:ind w:firstLine="720"/>
        <w:rPr>
          <w:rFonts w:ascii="Times New Roman" w:eastAsia="Times New Roman" w:hAnsi="Times New Roman" w:cs="Times New Roman"/>
          <w:color w:val="000000"/>
        </w:rPr>
      </w:pPr>
    </w:p>
    <w:p w14:paraId="29E33ECA" w14:textId="77777777" w:rsidR="001C080D" w:rsidRPr="001C080D" w:rsidRDefault="001C080D" w:rsidP="001C080D">
      <w:pPr>
        <w:jc w:val="center"/>
        <w:rPr>
          <w:rFonts w:ascii="Times New Roman" w:eastAsia="Times New Roman" w:hAnsi="Times New Roman" w:cs="Times New Roman"/>
          <w:b/>
          <w:color w:val="000000"/>
        </w:rPr>
      </w:pPr>
      <w:r w:rsidRPr="001C080D">
        <w:rPr>
          <w:rFonts w:ascii="Times New Roman" w:eastAsia="Times New Roman" w:hAnsi="Times New Roman" w:cs="Times New Roman"/>
          <w:b/>
          <w:color w:val="000000"/>
        </w:rPr>
        <w:lastRenderedPageBreak/>
        <w:t>Small Business Analysis</w:t>
      </w:r>
    </w:p>
    <w:p w14:paraId="0DEC8E5F" w14:textId="77777777" w:rsidR="001C080D" w:rsidRPr="001C080D" w:rsidRDefault="001C080D" w:rsidP="001C080D">
      <w:pPr>
        <w:ind w:firstLine="720"/>
        <w:rPr>
          <w:rFonts w:ascii="Times New Roman" w:eastAsia="Times New Roman" w:hAnsi="Times New Roman" w:cs="Times New Roman"/>
        </w:rPr>
      </w:pPr>
      <w:r w:rsidRPr="001C080D">
        <w:rPr>
          <w:rFonts w:ascii="Times New Roman" w:eastAsia="Times New Roman" w:hAnsi="Times New Roman" w:cs="Times New Roman"/>
          <w:color w:val="000000"/>
        </w:rPr>
        <w:t xml:space="preserve">This Rule has no known impact on small business as described in </w:t>
      </w:r>
      <w:r w:rsidRPr="001C080D">
        <w:rPr>
          <w:rFonts w:ascii="Times New Roman" w:eastAsia="Times New Roman" w:hAnsi="Times New Roman" w:cs="Times New Roman"/>
        </w:rPr>
        <w:t>R.S. 49:974.1 - 974.8.</w:t>
      </w:r>
    </w:p>
    <w:p w14:paraId="471E94D3" w14:textId="77777777" w:rsidR="001C080D" w:rsidRPr="001C080D" w:rsidRDefault="001C080D" w:rsidP="001C080D">
      <w:pPr>
        <w:ind w:firstLine="720"/>
        <w:rPr>
          <w:rFonts w:ascii="Times New Roman" w:eastAsia="Times New Roman" w:hAnsi="Times New Roman" w:cs="Times New Roman"/>
          <w:color w:val="000000"/>
        </w:rPr>
      </w:pPr>
    </w:p>
    <w:p w14:paraId="7B4032F9" w14:textId="77777777" w:rsidR="001C080D" w:rsidRPr="001C080D" w:rsidRDefault="001C080D" w:rsidP="001C080D">
      <w:pPr>
        <w:jc w:val="center"/>
        <w:rPr>
          <w:rFonts w:ascii="Times New Roman" w:eastAsia="Times New Roman" w:hAnsi="Times New Roman" w:cs="Times New Roman"/>
          <w:color w:val="000000"/>
        </w:rPr>
      </w:pPr>
      <w:r w:rsidRPr="001C080D">
        <w:rPr>
          <w:rFonts w:ascii="Times New Roman" w:eastAsia="Times New Roman" w:hAnsi="Times New Roman" w:cs="Times New Roman"/>
          <w:b/>
          <w:color w:val="000000"/>
        </w:rPr>
        <w:t>Provider Impact Statement</w:t>
      </w:r>
    </w:p>
    <w:p w14:paraId="68F06FDE" w14:textId="77777777" w:rsidR="001C080D" w:rsidRPr="001C080D" w:rsidRDefault="001C080D" w:rsidP="001C080D">
      <w:pPr>
        <w:ind w:firstLine="720"/>
        <w:rPr>
          <w:rFonts w:ascii="Times New Roman" w:eastAsia="Times New Roman" w:hAnsi="Times New Roman" w:cs="Times New Roman"/>
        </w:rPr>
      </w:pPr>
      <w:r w:rsidRPr="001C080D">
        <w:rPr>
          <w:rFonts w:ascii="Times New Roman" w:eastAsia="Times New Roman" w:hAnsi="Times New Roman" w:cs="Times New Roman"/>
          <w:color w:val="000000"/>
        </w:rPr>
        <w:t>This Rule has no known impact on providers as described in HCR 170 of 2014.</w:t>
      </w:r>
    </w:p>
    <w:p w14:paraId="6B0089C3" w14:textId="77777777" w:rsidR="001C080D" w:rsidRPr="001C080D" w:rsidRDefault="001C080D" w:rsidP="001C080D">
      <w:pPr>
        <w:rPr>
          <w:rFonts w:ascii="Times New Roman" w:eastAsia="Times New Roman" w:hAnsi="Times New Roman" w:cs="Times New Roman"/>
          <w:szCs w:val="20"/>
        </w:rPr>
      </w:pPr>
    </w:p>
    <w:p w14:paraId="0EB1F02F" w14:textId="77777777" w:rsidR="001C080D" w:rsidRPr="001C080D" w:rsidRDefault="001C080D" w:rsidP="001C080D">
      <w:pPr>
        <w:jc w:val="center"/>
        <w:rPr>
          <w:rFonts w:ascii="Times New Roman" w:eastAsia="Times New Roman" w:hAnsi="Times New Roman" w:cs="Times New Roman"/>
          <w:b/>
          <w:szCs w:val="20"/>
        </w:rPr>
      </w:pPr>
      <w:r w:rsidRPr="001C080D">
        <w:rPr>
          <w:rFonts w:ascii="Times New Roman" w:eastAsia="Times New Roman" w:hAnsi="Times New Roman" w:cs="Times New Roman"/>
          <w:b/>
          <w:szCs w:val="20"/>
        </w:rPr>
        <w:t>Public Comments</w:t>
      </w:r>
    </w:p>
    <w:p w14:paraId="5B57F5BE" w14:textId="77777777" w:rsidR="001C080D" w:rsidRPr="001C080D" w:rsidRDefault="001C080D" w:rsidP="001C080D">
      <w:pPr>
        <w:rPr>
          <w:rFonts w:ascii="Times New Roman" w:eastAsia="Times New Roman" w:hAnsi="Times New Roman" w:cs="Times New Roman"/>
          <w:szCs w:val="20"/>
        </w:rPr>
      </w:pPr>
      <w:r w:rsidRPr="001C080D">
        <w:rPr>
          <w:rFonts w:ascii="Times New Roman" w:eastAsia="Times New Roman" w:hAnsi="Times New Roman" w:cs="Times New Roman"/>
          <w:szCs w:val="20"/>
        </w:rPr>
        <w:tab/>
        <w:t xml:space="preserve">All interested persons </w:t>
      </w:r>
      <w:proofErr w:type="gramStart"/>
      <w:r w:rsidRPr="001C080D">
        <w:rPr>
          <w:rFonts w:ascii="Times New Roman" w:eastAsia="Times New Roman" w:hAnsi="Times New Roman" w:cs="Times New Roman"/>
          <w:szCs w:val="20"/>
        </w:rPr>
        <w:t>are invited</w:t>
      </w:r>
      <w:proofErr w:type="gramEnd"/>
      <w:r w:rsidRPr="001C080D">
        <w:rPr>
          <w:rFonts w:ascii="Times New Roman" w:eastAsia="Times New Roman" w:hAnsi="Times New Roman" w:cs="Times New Roman"/>
          <w:szCs w:val="20"/>
        </w:rPr>
        <w:t xml:space="preserve"> to submit written comments on the proposed regulation. Persons commenting should reference this proposed regulation by </w:t>
      </w:r>
      <w:r w:rsidRPr="001C080D">
        <w:rPr>
          <w:rFonts w:ascii="Times New Roman" w:eastAsia="Times New Roman" w:hAnsi="Times New Roman" w:cs="Times New Roman"/>
          <w:noProof/>
          <w:szCs w:val="20"/>
        </w:rPr>
        <w:t>HW125</w:t>
      </w:r>
      <w:r w:rsidRPr="001C080D">
        <w:rPr>
          <w:rFonts w:ascii="Times New Roman" w:eastAsia="Times New Roman" w:hAnsi="Times New Roman" w:cs="Times New Roman"/>
          <w:szCs w:val="20"/>
        </w:rPr>
        <w:t xml:space="preserve">. Such comments must be received no later than </w:t>
      </w:r>
      <w:r w:rsidRPr="001C080D">
        <w:rPr>
          <w:rFonts w:ascii="Times New Roman" w:eastAsia="Times New Roman" w:hAnsi="Times New Roman" w:cs="Times New Roman"/>
          <w:noProof/>
          <w:szCs w:val="20"/>
        </w:rPr>
        <w:t>March 5, 2024</w:t>
      </w:r>
      <w:r w:rsidRPr="001C080D">
        <w:rPr>
          <w:rFonts w:ascii="Times New Roman" w:eastAsia="Times New Roman" w:hAnsi="Times New Roman" w:cs="Times New Roman"/>
          <w:szCs w:val="20"/>
        </w:rPr>
        <w:t xml:space="preserve">, at 4:30 p.m., and should be sent to William Little, Attorney Supervisor, </w:t>
      </w:r>
      <w:r w:rsidRPr="001C080D">
        <w:rPr>
          <w:rFonts w:ascii="Times New Roman" w:eastAsia="Times New Roman" w:hAnsi="Times New Roman" w:cs="Times New Roman"/>
        </w:rPr>
        <w:t xml:space="preserve">Office of the Secretary, </w:t>
      </w:r>
      <w:r w:rsidRPr="001C080D">
        <w:rPr>
          <w:rFonts w:ascii="Times New Roman" w:eastAsia="Times New Roman" w:hAnsi="Times New Roman" w:cs="Times New Roman"/>
          <w:szCs w:val="20"/>
        </w:rPr>
        <w:t>Legal Affairs Division</w:t>
      </w:r>
      <w:r w:rsidRPr="001C080D">
        <w:rPr>
          <w:rFonts w:ascii="Times New Roman" w:eastAsia="Times New Roman" w:hAnsi="Times New Roman" w:cs="Times New Roman"/>
        </w:rPr>
        <w:t xml:space="preserve">, P.O. Box 4302, Baton Rouge, LA 70821-4302, by fax </w:t>
      </w:r>
      <w:r w:rsidRPr="001C080D">
        <w:rPr>
          <w:rFonts w:ascii="Times New Roman" w:eastAsia="Times New Roman" w:hAnsi="Times New Roman" w:cs="Times New Roman"/>
          <w:szCs w:val="20"/>
        </w:rPr>
        <w:t xml:space="preserve">(225) 219-4068, or by E-mail to DEQ.Reg.Dev.Comments@la.gov. Copies of the proposed regulation </w:t>
      </w:r>
      <w:proofErr w:type="gramStart"/>
      <w:r w:rsidRPr="001C080D">
        <w:rPr>
          <w:rFonts w:ascii="Times New Roman" w:eastAsia="Times New Roman" w:hAnsi="Times New Roman" w:cs="Times New Roman"/>
          <w:szCs w:val="20"/>
        </w:rPr>
        <w:t>can be purchased</w:t>
      </w:r>
      <w:proofErr w:type="gramEnd"/>
      <w:r w:rsidRPr="001C080D">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1C080D">
        <w:rPr>
          <w:rFonts w:ascii="Times New Roman" w:eastAsia="Times New Roman" w:hAnsi="Times New Roman" w:cs="Times New Roman"/>
          <w:noProof/>
          <w:szCs w:val="20"/>
        </w:rPr>
        <w:t>HW125</w:t>
      </w:r>
      <w:r w:rsidRPr="001C080D">
        <w:rPr>
          <w:rFonts w:ascii="Times New Roman" w:eastAsia="Times New Roman" w:hAnsi="Times New Roman" w:cs="Times New Roman"/>
          <w:szCs w:val="20"/>
        </w:rPr>
        <w:t>. The proposed regulation is available on the Internet at https://deq.louisiana.gov/page/rules-regulations.</w:t>
      </w:r>
    </w:p>
    <w:p w14:paraId="587B5C7A" w14:textId="77777777" w:rsidR="001C080D" w:rsidRPr="001C080D" w:rsidRDefault="001C080D" w:rsidP="001C080D">
      <w:pPr>
        <w:rPr>
          <w:rFonts w:ascii="Times New Roman" w:eastAsia="Times New Roman" w:hAnsi="Times New Roman" w:cs="Times New Roman"/>
          <w:szCs w:val="20"/>
        </w:rPr>
      </w:pPr>
    </w:p>
    <w:p w14:paraId="0F97A816" w14:textId="77777777" w:rsidR="001C080D" w:rsidRPr="001C080D" w:rsidRDefault="001C080D" w:rsidP="001C080D">
      <w:pPr>
        <w:jc w:val="center"/>
        <w:rPr>
          <w:rFonts w:ascii="Times New Roman" w:eastAsia="Times New Roman" w:hAnsi="Times New Roman" w:cs="Times New Roman"/>
          <w:szCs w:val="20"/>
        </w:rPr>
      </w:pPr>
      <w:r w:rsidRPr="001C080D">
        <w:rPr>
          <w:rFonts w:ascii="Times New Roman" w:eastAsia="Times New Roman" w:hAnsi="Times New Roman" w:cs="Times New Roman"/>
          <w:b/>
          <w:szCs w:val="20"/>
        </w:rPr>
        <w:t>Public Hearing</w:t>
      </w:r>
    </w:p>
    <w:p w14:paraId="48181FD2" w14:textId="77777777" w:rsidR="001C080D" w:rsidRPr="001C080D" w:rsidRDefault="001C080D" w:rsidP="001C080D">
      <w:pPr>
        <w:ind w:firstLine="720"/>
        <w:rPr>
          <w:rFonts w:ascii="Times New Roman" w:eastAsia="Times New Roman" w:hAnsi="Times New Roman" w:cs="Times New Roman"/>
          <w:szCs w:val="20"/>
        </w:rPr>
      </w:pPr>
      <w:r w:rsidRPr="001C080D">
        <w:rPr>
          <w:rFonts w:ascii="Times New Roman" w:eastAsia="Times New Roman" w:hAnsi="Times New Roman" w:cs="Times New Roman"/>
          <w:szCs w:val="20"/>
        </w:rPr>
        <w:t xml:space="preserve">A public hearing will be held via Zoom on </w:t>
      </w:r>
      <w:r w:rsidRPr="001C080D">
        <w:rPr>
          <w:rFonts w:ascii="Times New Roman" w:eastAsia="Times New Roman" w:hAnsi="Times New Roman" w:cs="Times New Roman"/>
          <w:noProof/>
          <w:szCs w:val="20"/>
        </w:rPr>
        <w:t>February 27, 2024</w:t>
      </w:r>
      <w:r w:rsidRPr="001C080D">
        <w:rPr>
          <w:rFonts w:ascii="Times New Roman" w:eastAsia="Times New Roman" w:hAnsi="Times New Roman" w:cs="Times New Roman"/>
          <w:szCs w:val="20"/>
        </w:rPr>
        <w:t xml:space="preserve">, at 1:30 p.m. </w:t>
      </w:r>
      <w:proofErr w:type="gramStart"/>
      <w:r w:rsidRPr="001C080D">
        <w:rPr>
          <w:rFonts w:ascii="Times New Roman" w:eastAsia="Times New Roman" w:hAnsi="Times New Roman" w:cs="Times New Roman"/>
          <w:szCs w:val="20"/>
        </w:rPr>
        <w:t>Interested</w:t>
      </w:r>
      <w:proofErr w:type="gramEnd"/>
      <w:r w:rsidRPr="001C080D">
        <w:rPr>
          <w:rFonts w:ascii="Times New Roman" w:eastAsia="Times New Roman" w:hAnsi="Times New Roman" w:cs="Times New Roman"/>
          <w:szCs w:val="20"/>
        </w:rPr>
        <w:t xml:space="preserve"> persons are invited to attend and submit oral comments via PC, Mac, Linux, iOS or Android at https://deqlouisiana.zoom.us/j/9373792954?omn=84764065727 or by telephone by dialing (636) 651-3182 using the conference code 725573. Should individuals with a disability need an accommodation in order to participate, contact Doug Bordelon at the address given below, or at (225) 219-</w:t>
      </w:r>
      <w:proofErr w:type="gramStart"/>
      <w:r w:rsidRPr="001C080D">
        <w:rPr>
          <w:rFonts w:ascii="Times New Roman" w:eastAsia="Times New Roman" w:hAnsi="Times New Roman" w:cs="Times New Roman"/>
          <w:szCs w:val="20"/>
        </w:rPr>
        <w:t>1325.</w:t>
      </w:r>
      <w:proofErr w:type="gramEnd"/>
    </w:p>
    <w:p w14:paraId="60898E3C" w14:textId="77777777" w:rsidR="001C080D" w:rsidRPr="001C080D" w:rsidRDefault="001C080D" w:rsidP="001C080D">
      <w:pPr>
        <w:rPr>
          <w:rFonts w:ascii="Times New Roman" w:eastAsia="Times New Roman" w:hAnsi="Times New Roman" w:cs="Times New Roman"/>
          <w:szCs w:val="20"/>
        </w:rPr>
      </w:pPr>
    </w:p>
    <w:p w14:paraId="18227090" w14:textId="77777777" w:rsidR="001C080D" w:rsidRPr="001C080D" w:rsidRDefault="001C080D" w:rsidP="001C080D">
      <w:pPr>
        <w:rPr>
          <w:rFonts w:ascii="Times New Roman" w:eastAsia="Times New Roman" w:hAnsi="Times New Roman" w:cs="Times New Roman"/>
          <w:szCs w:val="20"/>
        </w:rPr>
      </w:pPr>
      <w:r w:rsidRPr="001C080D">
        <w:rPr>
          <w:rFonts w:ascii="Times New Roman" w:eastAsia="Times New Roman" w:hAnsi="Times New Roman" w:cs="Times New Roman"/>
          <w:szCs w:val="20"/>
        </w:rPr>
        <w:tab/>
      </w:r>
      <w:proofErr w:type="gramStart"/>
      <w:r w:rsidRPr="001C080D">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1C080D">
        <w:rPr>
          <w:rFonts w:ascii="CG Times (W1)" w:eastAsia="Times New Roman" w:hAnsi="CG Times (W1)" w:cs="Times New Roman"/>
          <w:szCs w:val="20"/>
        </w:rPr>
        <w:t xml:space="preserve"> </w:t>
      </w:r>
      <w:r w:rsidRPr="001C080D">
        <w:rPr>
          <w:rFonts w:ascii="Times New Roman" w:eastAsia="Times New Roman" w:hAnsi="Times New Roman" w:cs="Times New Roman"/>
          <w:szCs w:val="20"/>
        </w:rPr>
        <w:t xml:space="preserve">111 New Center Drive, Lafayette, LA 70508; 110 </w:t>
      </w:r>
      <w:proofErr w:type="spellStart"/>
      <w:r w:rsidRPr="001C080D">
        <w:rPr>
          <w:rFonts w:ascii="Times New Roman" w:eastAsia="Times New Roman" w:hAnsi="Times New Roman" w:cs="Times New Roman"/>
          <w:szCs w:val="20"/>
        </w:rPr>
        <w:t>Barataria</w:t>
      </w:r>
      <w:proofErr w:type="spellEnd"/>
      <w:r w:rsidRPr="001C080D">
        <w:rPr>
          <w:rFonts w:ascii="Times New Roman" w:eastAsia="Times New Roman" w:hAnsi="Times New Roman" w:cs="Times New Roman"/>
          <w:szCs w:val="20"/>
        </w:rPr>
        <w:t xml:space="preserve"> Street, Lockport, LA 70374; </w:t>
      </w:r>
      <w:r w:rsidRPr="001C080D">
        <w:rPr>
          <w:rFonts w:ascii="Times New Roman" w:eastAsia="Times New Roman" w:hAnsi="Times New Roman" w:cs="Times New Roman"/>
        </w:rPr>
        <w:t>201 Evans Road, Bldg. 4, Suite 420, New Orleans, LA  70123</w:t>
      </w:r>
      <w:r w:rsidRPr="001C080D">
        <w:rPr>
          <w:rFonts w:ascii="Times New Roman" w:eastAsia="Times New Roman" w:hAnsi="Times New Roman" w:cs="Times New Roman"/>
          <w:szCs w:val="20"/>
        </w:rPr>
        <w:t>.</w:t>
      </w:r>
      <w:proofErr w:type="gramEnd"/>
    </w:p>
    <w:p w14:paraId="7C44F2D7" w14:textId="77777777" w:rsidR="001C080D" w:rsidRPr="001C080D" w:rsidRDefault="001C080D" w:rsidP="001C080D">
      <w:pPr>
        <w:rPr>
          <w:rFonts w:ascii="Times New Roman" w:eastAsia="Times New Roman" w:hAnsi="Times New Roman" w:cs="Times New Roman"/>
          <w:szCs w:val="20"/>
        </w:rPr>
      </w:pPr>
    </w:p>
    <w:p w14:paraId="7C251A96" w14:textId="77777777" w:rsidR="001C080D" w:rsidRPr="001C080D" w:rsidRDefault="001C080D" w:rsidP="001C080D">
      <w:pPr>
        <w:rPr>
          <w:rFonts w:ascii="Times New Roman" w:eastAsia="Times New Roman" w:hAnsi="Times New Roman" w:cs="Times New Roman"/>
          <w:szCs w:val="20"/>
        </w:rPr>
      </w:pP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t>Courtney J. Burdette</w:t>
      </w:r>
    </w:p>
    <w:p w14:paraId="3679EFB1" w14:textId="77777777" w:rsidR="001C080D" w:rsidRPr="001C080D" w:rsidRDefault="001C080D" w:rsidP="001C080D">
      <w:pPr>
        <w:rPr>
          <w:rFonts w:ascii="Times New Roman" w:eastAsia="Times New Roman" w:hAnsi="Times New Roman" w:cs="Times New Roman"/>
          <w:sz w:val="20"/>
          <w:szCs w:val="20"/>
        </w:rPr>
      </w:pP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r>
      <w:r w:rsidRPr="001C080D">
        <w:rPr>
          <w:rFonts w:ascii="Times New Roman" w:eastAsia="Times New Roman" w:hAnsi="Times New Roman" w:cs="Times New Roman"/>
          <w:szCs w:val="20"/>
        </w:rPr>
        <w:tab/>
        <w:t>Executive Counsel</w:t>
      </w:r>
    </w:p>
    <w:p w14:paraId="71143CBB" w14:textId="630B738C" w:rsidR="001C080D" w:rsidRDefault="001C080D"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059F4785" w14:textId="77777777" w:rsidR="001C080D" w:rsidRPr="001C080D" w:rsidRDefault="001C080D" w:rsidP="001C080D">
      <w:pPr>
        <w:jc w:val="center"/>
        <w:rPr>
          <w:rFonts w:ascii="Times New Roman" w:eastAsia="Times New Roman" w:hAnsi="Times New Roman" w:cs="Times New Roman"/>
          <w:b/>
        </w:rPr>
      </w:pPr>
      <w:r w:rsidRPr="001C080D">
        <w:rPr>
          <w:rFonts w:ascii="Times New Roman" w:eastAsia="Times New Roman" w:hAnsi="Times New Roman" w:cs="Times New Roman"/>
          <w:b/>
        </w:rPr>
        <w:t>Title 33</w:t>
      </w:r>
    </w:p>
    <w:p w14:paraId="4A8772A3" w14:textId="77777777" w:rsidR="001C080D" w:rsidRPr="001C080D" w:rsidRDefault="001C080D" w:rsidP="001C080D">
      <w:pPr>
        <w:jc w:val="center"/>
        <w:rPr>
          <w:rFonts w:ascii="Times New Roman" w:eastAsia="Times New Roman" w:hAnsi="Times New Roman" w:cs="Times New Roman"/>
          <w:b/>
        </w:rPr>
      </w:pPr>
      <w:r w:rsidRPr="001C080D">
        <w:rPr>
          <w:rFonts w:ascii="Times New Roman" w:eastAsia="Times New Roman" w:hAnsi="Times New Roman" w:cs="Times New Roman"/>
          <w:b/>
        </w:rPr>
        <w:t>ENVIRONMENTAL QUALITY</w:t>
      </w:r>
    </w:p>
    <w:p w14:paraId="4945AF55" w14:textId="77777777" w:rsidR="001C080D" w:rsidRPr="001C080D" w:rsidRDefault="001C080D" w:rsidP="001C080D">
      <w:pPr>
        <w:jc w:val="center"/>
        <w:rPr>
          <w:rFonts w:ascii="Times New Roman" w:eastAsia="Times New Roman" w:hAnsi="Times New Roman" w:cs="Times New Roman"/>
          <w:b/>
        </w:rPr>
      </w:pPr>
      <w:r w:rsidRPr="001C080D">
        <w:rPr>
          <w:rFonts w:ascii="Times New Roman" w:eastAsia="Times New Roman" w:hAnsi="Times New Roman" w:cs="Times New Roman"/>
          <w:b/>
        </w:rPr>
        <w:t>Part V.  Hazardous Waste and Hazardous Materials</w:t>
      </w:r>
    </w:p>
    <w:p w14:paraId="11641ABC" w14:textId="77777777" w:rsidR="001C080D" w:rsidRPr="001C080D" w:rsidRDefault="001C080D" w:rsidP="001C080D">
      <w:pPr>
        <w:jc w:val="center"/>
        <w:rPr>
          <w:rFonts w:ascii="Times New Roman" w:eastAsia="Times New Roman" w:hAnsi="Times New Roman" w:cs="Times New Roman"/>
          <w:b/>
        </w:rPr>
      </w:pPr>
    </w:p>
    <w:p w14:paraId="48626361" w14:textId="77777777" w:rsidR="001C080D" w:rsidRPr="001C080D" w:rsidRDefault="001C080D" w:rsidP="001C080D">
      <w:pPr>
        <w:jc w:val="center"/>
        <w:rPr>
          <w:rFonts w:ascii="Times New Roman" w:eastAsia="Times New Roman" w:hAnsi="Times New Roman" w:cs="Times New Roman"/>
          <w:b/>
        </w:rPr>
      </w:pPr>
      <w:r w:rsidRPr="001C080D">
        <w:rPr>
          <w:rFonts w:ascii="Times New Roman" w:eastAsia="Times New Roman" w:hAnsi="Times New Roman" w:cs="Times New Roman"/>
          <w:b/>
        </w:rPr>
        <w:t xml:space="preserve">Subpart </w:t>
      </w:r>
      <w:proofErr w:type="gramStart"/>
      <w:r w:rsidRPr="001C080D">
        <w:rPr>
          <w:rFonts w:ascii="Times New Roman" w:eastAsia="Times New Roman" w:hAnsi="Times New Roman" w:cs="Times New Roman"/>
          <w:b/>
        </w:rPr>
        <w:t>1</w:t>
      </w:r>
      <w:proofErr w:type="gramEnd"/>
      <w:r w:rsidRPr="001C080D">
        <w:rPr>
          <w:rFonts w:ascii="Times New Roman" w:eastAsia="Times New Roman" w:hAnsi="Times New Roman" w:cs="Times New Roman"/>
          <w:b/>
        </w:rPr>
        <w:t>.  Department of Environmental Quality—Hazardous Waste</w:t>
      </w:r>
    </w:p>
    <w:p w14:paraId="018B6C37" w14:textId="77777777" w:rsidR="001C080D" w:rsidRPr="001C080D" w:rsidRDefault="001C080D" w:rsidP="001C080D">
      <w:pPr>
        <w:jc w:val="center"/>
        <w:rPr>
          <w:rFonts w:ascii="Times New Roman" w:eastAsia="Times New Roman" w:hAnsi="Times New Roman" w:cs="Times New Roman"/>
        </w:rPr>
      </w:pPr>
    </w:p>
    <w:p w14:paraId="5CC323A4" w14:textId="77777777" w:rsidR="001C080D" w:rsidRPr="001C080D" w:rsidRDefault="001C080D" w:rsidP="001C080D">
      <w:pPr>
        <w:jc w:val="both"/>
        <w:rPr>
          <w:rFonts w:ascii="Times New Roman" w:eastAsia="Times New Roman" w:hAnsi="Times New Roman" w:cs="Times New Roman"/>
          <w:b/>
          <w:kern w:val="2"/>
        </w:rPr>
      </w:pPr>
      <w:bookmarkStart w:id="1" w:name="TOC_Chap1132"/>
      <w:r w:rsidRPr="001C080D">
        <w:rPr>
          <w:rFonts w:ascii="Times New Roman" w:eastAsia="Times New Roman" w:hAnsi="Times New Roman" w:cs="Times New Roman"/>
          <w:b/>
          <w:kern w:val="2"/>
        </w:rPr>
        <w:t>Chapter 49.</w:t>
      </w:r>
      <w:bookmarkEnd w:id="1"/>
      <w:r w:rsidRPr="001C080D">
        <w:rPr>
          <w:rFonts w:ascii="Times New Roman" w:eastAsia="Times New Roman" w:hAnsi="Times New Roman" w:cs="Times New Roman"/>
          <w:b/>
          <w:kern w:val="2"/>
        </w:rPr>
        <w:t xml:space="preserve">  </w:t>
      </w:r>
      <w:bookmarkStart w:id="2" w:name="TOCT_Chap1132"/>
      <w:r w:rsidRPr="001C080D">
        <w:rPr>
          <w:rFonts w:ascii="Times New Roman" w:eastAsia="Times New Roman" w:hAnsi="Times New Roman" w:cs="Times New Roman"/>
          <w:b/>
          <w:kern w:val="2"/>
        </w:rPr>
        <w:t>Lists of Hazardous Wastes</w:t>
      </w:r>
      <w:bookmarkEnd w:id="2"/>
    </w:p>
    <w:p w14:paraId="453B241E" w14:textId="77777777" w:rsidR="001C080D" w:rsidRPr="001C080D" w:rsidRDefault="001C080D" w:rsidP="001C080D">
      <w:pPr>
        <w:jc w:val="both"/>
        <w:rPr>
          <w:rFonts w:ascii="Times New Roman" w:eastAsia="Times New Roman" w:hAnsi="Times New Roman" w:cs="Times New Roman"/>
          <w:b/>
          <w:kern w:val="2"/>
        </w:rPr>
      </w:pPr>
    </w:p>
    <w:p w14:paraId="08E57A87" w14:textId="77777777" w:rsidR="001C080D" w:rsidRPr="001C080D" w:rsidRDefault="001C080D" w:rsidP="001C080D">
      <w:pPr>
        <w:jc w:val="both"/>
        <w:rPr>
          <w:rFonts w:ascii="Times New Roman" w:eastAsia="Times New Roman" w:hAnsi="Times New Roman" w:cs="Times New Roman"/>
          <w:b/>
          <w:kern w:val="2"/>
        </w:rPr>
      </w:pPr>
      <w:bookmarkStart w:id="3" w:name="TOC_Sect1854"/>
      <w:r w:rsidRPr="001C080D">
        <w:rPr>
          <w:rFonts w:ascii="Times New Roman" w:eastAsia="Times New Roman" w:hAnsi="Times New Roman" w:cs="Times New Roman"/>
          <w:b/>
          <w:kern w:val="2"/>
        </w:rPr>
        <w:t>§4999.</w:t>
      </w:r>
      <w:r w:rsidRPr="001C080D">
        <w:rPr>
          <w:rFonts w:ascii="Times New Roman" w:eastAsia="Times New Roman" w:hAnsi="Times New Roman" w:cs="Times New Roman"/>
          <w:b/>
          <w:kern w:val="2"/>
        </w:rPr>
        <w:tab/>
        <w:t xml:space="preserve">Appendices—Appendix A, B, C, D, and </w:t>
      </w:r>
      <w:bookmarkEnd w:id="3"/>
      <w:r w:rsidRPr="001C080D">
        <w:rPr>
          <w:rFonts w:ascii="Times New Roman" w:eastAsia="Times New Roman" w:hAnsi="Times New Roman" w:cs="Times New Roman"/>
          <w:b/>
          <w:kern w:val="2"/>
        </w:rPr>
        <w:t>E</w:t>
      </w:r>
    </w:p>
    <w:p w14:paraId="669A4889" w14:textId="77777777" w:rsidR="001C080D" w:rsidRPr="001C080D" w:rsidRDefault="001C080D" w:rsidP="001C080D">
      <w:pPr>
        <w:jc w:val="both"/>
        <w:rPr>
          <w:rFonts w:ascii="Times New Roman" w:eastAsia="Times New Roman" w:hAnsi="Times New Roman" w:cs="Times New Roman"/>
          <w:b/>
          <w:kern w:val="2"/>
        </w:rPr>
      </w:pPr>
    </w:p>
    <w:p w14:paraId="47DD9226" w14:textId="77777777" w:rsidR="001C080D" w:rsidRPr="001C080D" w:rsidRDefault="001C080D" w:rsidP="001C080D">
      <w:pPr>
        <w:tabs>
          <w:tab w:val="left" w:pos="3960"/>
        </w:tabs>
        <w:spacing w:line="480" w:lineRule="auto"/>
        <w:ind w:firstLine="720"/>
        <w:rPr>
          <w:rFonts w:ascii="Times New Roman" w:eastAsia="Times New Roman" w:hAnsi="Times New Roman" w:cs="Times New Roman"/>
          <w:bCs/>
        </w:rPr>
      </w:pPr>
      <w:r w:rsidRPr="001C080D">
        <w:rPr>
          <w:rFonts w:ascii="Times New Roman" w:eastAsia="Times New Roman" w:hAnsi="Times New Roman" w:cs="Times New Roman"/>
          <w:bCs/>
        </w:rPr>
        <w:t xml:space="preserve">Appendix A. </w:t>
      </w:r>
      <w:r w:rsidRPr="001C080D">
        <w:rPr>
          <w:rFonts w:ascii="Calibri" w:eastAsia="Times New Roman" w:hAnsi="Calibri" w:cs="Times New Roman"/>
          <w:bCs/>
        </w:rPr>
        <w:t>—</w:t>
      </w:r>
      <w:r w:rsidRPr="001C080D">
        <w:rPr>
          <w:rFonts w:ascii="Times New Roman" w:eastAsia="Times New Roman" w:hAnsi="Times New Roman" w:cs="Times New Roman"/>
          <w:bCs/>
        </w:rPr>
        <w:t xml:space="preserve"> Appendix D.</w:t>
      </w:r>
      <w:r w:rsidRPr="001C080D">
        <w:rPr>
          <w:rFonts w:ascii="Times New Roman" w:eastAsia="Times New Roman" w:hAnsi="Times New Roman" w:cs="Times New Roman"/>
          <w:bCs/>
        </w:rPr>
        <w:tab/>
        <w:t>…</w:t>
      </w:r>
    </w:p>
    <w:p w14:paraId="1A3CA89A" w14:textId="77777777" w:rsidR="001C080D" w:rsidRPr="001C080D" w:rsidRDefault="001C080D" w:rsidP="001C080D">
      <w:pPr>
        <w:tabs>
          <w:tab w:val="left" w:pos="720"/>
        </w:tabs>
        <w:spacing w:after="200" w:line="480" w:lineRule="auto"/>
        <w:jc w:val="center"/>
        <w:rPr>
          <w:rFonts w:ascii="Calibri" w:eastAsia="Times New Roman" w:hAnsi="Calibri" w:cs="Times New Roman"/>
          <w:bCs/>
          <w:sz w:val="22"/>
        </w:rPr>
      </w:pPr>
      <w:r w:rsidRPr="001C080D">
        <w:rPr>
          <w:rFonts w:ascii="Calibri" w:eastAsia="Times New Roman" w:hAnsi="Calibri" w:cs="Times New Roman"/>
          <w:bCs/>
          <w:sz w:val="22"/>
        </w:rPr>
        <w:lastRenderedPageBreak/>
        <w:t>* * *</w:t>
      </w:r>
    </w:p>
    <w:p w14:paraId="241CEBE5" w14:textId="77777777" w:rsidR="001C080D" w:rsidRPr="001C080D" w:rsidRDefault="001C080D" w:rsidP="001C080D">
      <w:pPr>
        <w:ind w:firstLine="720"/>
        <w:jc w:val="both"/>
        <w:rPr>
          <w:rFonts w:ascii="Times New Roman" w:eastAsia="Times New Roman" w:hAnsi="Times New Roman" w:cs="Times New Roman"/>
          <w:kern w:val="2"/>
        </w:rPr>
      </w:pPr>
      <w:r w:rsidRPr="001C080D">
        <w:rPr>
          <w:rFonts w:ascii="Times New Roman" w:eastAsia="Times New Roman" w:hAnsi="Times New Roman" w:cs="Times New Roman"/>
          <w:kern w:val="2"/>
        </w:rPr>
        <w:t>Appendix E.  Wastes Excluded under LAC 33:V.105.M</w:t>
      </w:r>
    </w:p>
    <w:p w14:paraId="049282C4" w14:textId="77777777" w:rsidR="001C080D" w:rsidRPr="001C080D" w:rsidRDefault="001C080D" w:rsidP="001C080D">
      <w:pPr>
        <w:jc w:val="center"/>
        <w:rPr>
          <w:rFonts w:ascii="Times New Roman" w:eastAsia="Times New Roman" w:hAnsi="Times New Roman" w:cs="Times New Roman"/>
          <w:b/>
          <w:kern w:val="2"/>
        </w:rPr>
      </w:pPr>
    </w:p>
    <w:p w14:paraId="03AF5320" w14:textId="77777777" w:rsidR="001C080D" w:rsidRPr="001C080D" w:rsidRDefault="001C080D" w:rsidP="001C080D">
      <w:pPr>
        <w:rPr>
          <w:rFonts w:ascii="Times New Roman" w:eastAsia="Times New Roman" w:hAnsi="Times New Roman" w:cs="Times New Roman"/>
          <w:kern w:val="2"/>
        </w:rPr>
      </w:pPr>
      <w:r w:rsidRPr="001C080D">
        <w:rPr>
          <w:rFonts w:ascii="Times New Roman" w:eastAsia="Times New Roman" w:hAnsi="Times New Roman" w:cs="Times New Roman"/>
          <w:b/>
          <w:kern w:val="2"/>
        </w:rPr>
        <w:tab/>
      </w:r>
      <w:r w:rsidRPr="001C080D">
        <w:rPr>
          <w:rFonts w:ascii="Times New Roman" w:eastAsia="Times New Roman" w:hAnsi="Times New Roman" w:cs="Times New Roman"/>
          <w:kern w:val="2"/>
        </w:rPr>
        <w:t xml:space="preserve">A.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B.3.b.  …</w:t>
      </w:r>
    </w:p>
    <w:p w14:paraId="7814B5C2" w14:textId="77777777" w:rsidR="001C080D" w:rsidRPr="001C080D" w:rsidRDefault="001C080D" w:rsidP="001C080D">
      <w:pPr>
        <w:rPr>
          <w:rFonts w:ascii="Times New Roman" w:eastAsia="Times New Roman" w:hAnsi="Times New Roman" w:cs="Times New Roman"/>
          <w:kern w:val="2"/>
        </w:rPr>
      </w:pPr>
    </w:p>
    <w:tbl>
      <w:tblPr>
        <w:tblW w:w="694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1C080D" w:rsidRPr="001C080D" w14:paraId="538E9C83" w14:textId="77777777" w:rsidTr="009D567E">
        <w:trPr>
          <w:cantSplit/>
          <w:trHeight w:val="420"/>
          <w:tblHeader/>
          <w:jc w:val="center"/>
        </w:trPr>
        <w:tc>
          <w:tcPr>
            <w:tcW w:w="6945" w:type="dxa"/>
            <w:shd w:val="clear" w:color="auto" w:fill="auto"/>
            <w:vAlign w:val="center"/>
          </w:tcPr>
          <w:p w14:paraId="4D8DCA16" w14:textId="77777777" w:rsidR="001C080D" w:rsidRPr="001C080D" w:rsidRDefault="001C080D" w:rsidP="001C080D">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Times New Roman" w:hAnsi="Times New Roman" w:cs="Times New Roman"/>
                <w:kern w:val="2"/>
              </w:rPr>
            </w:pPr>
            <w:r w:rsidRPr="001C080D">
              <w:rPr>
                <w:rFonts w:ascii="Times New Roman" w:eastAsia="Times New Roman" w:hAnsi="Times New Roman" w:cs="Times New Roman"/>
                <w:kern w:val="2"/>
              </w:rPr>
              <w:t xml:space="preserve">Table 1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Wastes Excluded</w:t>
            </w:r>
          </w:p>
        </w:tc>
      </w:tr>
      <w:tr w:rsidR="001C080D" w:rsidRPr="001C080D" w14:paraId="0FDA9DF0" w14:textId="77777777" w:rsidTr="009D567E">
        <w:trPr>
          <w:trHeight w:val="721"/>
          <w:tblHeader/>
          <w:jc w:val="center"/>
        </w:trPr>
        <w:tc>
          <w:tcPr>
            <w:tcW w:w="6945" w:type="dxa"/>
            <w:shd w:val="clear" w:color="auto" w:fill="auto"/>
          </w:tcPr>
          <w:p w14:paraId="2117245C" w14:textId="77777777" w:rsidR="001C080D" w:rsidRPr="001C080D" w:rsidRDefault="001C080D" w:rsidP="001C080D">
            <w:pPr>
              <w:widowControl w:val="0"/>
              <w:spacing w:line="480" w:lineRule="auto"/>
              <w:jc w:val="center"/>
              <w:rPr>
                <w:rFonts w:ascii="Times New Roman" w:eastAsia="Times New Roman" w:hAnsi="Times New Roman" w:cs="Times New Roman"/>
                <w:kern w:val="2"/>
              </w:rPr>
            </w:pPr>
            <w:r w:rsidRPr="001C080D">
              <w:rPr>
                <w:rFonts w:ascii="Times New Roman" w:eastAsia="Times New Roman" w:hAnsi="Times New Roman" w:cs="Times New Roman"/>
              </w:rPr>
              <w:t>BFI Waste Systems of Louisiana LLC, Colonial Landfill, Sorrento, LA</w:t>
            </w:r>
          </w:p>
        </w:tc>
      </w:tr>
      <w:tr w:rsidR="001C080D" w:rsidRPr="001C080D" w14:paraId="32E01870" w14:textId="77777777" w:rsidTr="009D567E">
        <w:trPr>
          <w:trHeight w:val="413"/>
          <w:jc w:val="center"/>
        </w:trPr>
        <w:tc>
          <w:tcPr>
            <w:tcW w:w="6945" w:type="dxa"/>
          </w:tcPr>
          <w:p w14:paraId="50E9C2B9" w14:textId="77777777" w:rsidR="001C080D" w:rsidRPr="001C080D" w:rsidRDefault="001C080D" w:rsidP="001C080D">
            <w:pPr>
              <w:widowControl w:val="0"/>
              <w:spacing w:line="480" w:lineRule="auto"/>
              <w:jc w:val="center"/>
              <w:rPr>
                <w:rFonts w:ascii="Times New Roman" w:eastAsia="Times New Roman" w:hAnsi="Times New Roman" w:cs="Times New Roman"/>
                <w:kern w:val="2"/>
              </w:rPr>
            </w:pPr>
            <w:r w:rsidRPr="001C080D">
              <w:rPr>
                <w:rFonts w:ascii="Times New Roman" w:eastAsia="Times New Roman" w:hAnsi="Times New Roman" w:cs="Times New Roman"/>
                <w:kern w:val="2"/>
              </w:rPr>
              <w:t>* * *</w:t>
            </w:r>
          </w:p>
        </w:tc>
      </w:tr>
    </w:tbl>
    <w:p w14:paraId="5A16435F" w14:textId="77777777" w:rsidR="001C080D" w:rsidRPr="001C080D" w:rsidRDefault="001C080D" w:rsidP="001C080D">
      <w:pPr>
        <w:jc w:val="both"/>
        <w:rPr>
          <w:rFonts w:ascii="Times New Roman" w:eastAsia="Times New Roman" w:hAnsi="Times New Roman" w:cs="Times New Roman"/>
          <w:kern w:val="2"/>
        </w:rPr>
      </w:pPr>
    </w:p>
    <w:p w14:paraId="232386AE" w14:textId="77777777" w:rsidR="001C080D" w:rsidRPr="001C080D" w:rsidRDefault="001C080D" w:rsidP="001C080D">
      <w:pPr>
        <w:jc w:val="both"/>
        <w:rPr>
          <w:rFonts w:ascii="Times New Roman" w:eastAsia="Times New Roman" w:hAnsi="Times New Roman" w:cs="Times New Roman"/>
          <w:b/>
        </w:rPr>
      </w:pPr>
    </w:p>
    <w:tbl>
      <w:tblPr>
        <w:tblW w:w="693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1C080D" w:rsidRPr="001C080D" w14:paraId="057EA996" w14:textId="77777777" w:rsidTr="009D567E">
        <w:trPr>
          <w:cantSplit/>
          <w:trHeight w:val="197"/>
          <w:tblHeader/>
          <w:jc w:val="center"/>
        </w:trPr>
        <w:tc>
          <w:tcPr>
            <w:tcW w:w="6935" w:type="dxa"/>
            <w:shd w:val="clear" w:color="auto" w:fill="auto"/>
            <w:vAlign w:val="center"/>
          </w:tcPr>
          <w:p w14:paraId="24F27BA8" w14:textId="77777777" w:rsidR="001C080D" w:rsidRPr="001C080D" w:rsidRDefault="001C080D" w:rsidP="001C080D">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Times New Roman" w:hAnsi="Times New Roman" w:cs="Times New Roman"/>
                <w:kern w:val="2"/>
              </w:rPr>
            </w:pPr>
            <w:r w:rsidRPr="001C080D">
              <w:rPr>
                <w:rFonts w:ascii="Times New Roman" w:eastAsia="Times New Roman" w:hAnsi="Times New Roman" w:cs="Times New Roman"/>
                <w:kern w:val="2"/>
              </w:rPr>
              <w:t xml:space="preserve">Table 1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Wastes Excluded</w:t>
            </w:r>
          </w:p>
        </w:tc>
      </w:tr>
      <w:tr w:rsidR="001C080D" w:rsidRPr="001C080D" w14:paraId="19DC25E6" w14:textId="77777777" w:rsidTr="009D567E">
        <w:trPr>
          <w:cantSplit/>
          <w:trHeight w:val="170"/>
          <w:tblHeader/>
          <w:jc w:val="center"/>
          <w:hidden/>
        </w:trPr>
        <w:tc>
          <w:tcPr>
            <w:tcW w:w="6935" w:type="dxa"/>
            <w:shd w:val="clear" w:color="auto" w:fill="auto"/>
          </w:tcPr>
          <w:p w14:paraId="673C92E4" w14:textId="77777777" w:rsidR="001C080D" w:rsidRPr="001C080D" w:rsidRDefault="001C080D" w:rsidP="001C080D">
            <w:pPr>
              <w:widowControl w:val="0"/>
              <w:tabs>
                <w:tab w:val="left" w:pos="748"/>
                <w:tab w:val="left" w:pos="1496"/>
                <w:tab w:val="left" w:pos="2244"/>
                <w:tab w:val="left" w:pos="2992"/>
                <w:tab w:val="left" w:pos="3553"/>
                <w:tab w:val="left" w:pos="4301"/>
              </w:tabs>
              <w:spacing w:line="480" w:lineRule="auto"/>
              <w:ind w:right="14"/>
              <w:jc w:val="center"/>
              <w:outlineLvl w:val="0"/>
              <w:rPr>
                <w:rFonts w:ascii="Times New Roman" w:eastAsia="Times New Roman" w:hAnsi="Times New Roman" w:cs="Times New Roman"/>
                <w:bCs/>
              </w:rPr>
            </w:pPr>
            <w:r w:rsidRPr="001C080D">
              <w:rPr>
                <w:rFonts w:ascii="Times New Roman" w:eastAsia="Times New Roman" w:hAnsi="Times New Roman" w:cs="Times New Roman"/>
                <w:vanish/>
              </w:rPr>
              <w:t xml:space="preserve">Denka Performance Elastomer LLC, LaPlace, LA </w:t>
            </w:r>
            <w:r w:rsidRPr="001C080D">
              <w:rPr>
                <w:rFonts w:ascii="Times New Roman" w:eastAsia="Times New Roman" w:hAnsi="Times New Roman" w:cs="Times New Roman"/>
              </w:rPr>
              <w:t xml:space="preserve">Denka Performance Elastomer LLC, </w:t>
            </w:r>
            <w:proofErr w:type="spellStart"/>
            <w:r w:rsidRPr="001C080D">
              <w:rPr>
                <w:rFonts w:ascii="Times New Roman" w:eastAsia="Times New Roman" w:hAnsi="Times New Roman" w:cs="Times New Roman"/>
              </w:rPr>
              <w:t>LaPlace</w:t>
            </w:r>
            <w:proofErr w:type="spellEnd"/>
            <w:r w:rsidRPr="001C080D">
              <w:rPr>
                <w:rFonts w:ascii="Times New Roman" w:eastAsia="Times New Roman" w:hAnsi="Times New Roman" w:cs="Times New Roman"/>
              </w:rPr>
              <w:t xml:space="preserve"> LA</w:t>
            </w:r>
            <w:r w:rsidRPr="001C080D">
              <w:rPr>
                <w:rFonts w:ascii="Times New Roman" w:eastAsia="Times New Roman" w:hAnsi="Times New Roman" w:cs="Times New Roman"/>
                <w:vanish/>
              </w:rPr>
              <w:t>Denka Performance Elastomer LLC, LaPlace, LA Denka Performance Elastomer LLC, LaPlace, LA Denka Performance Elastomer LLC, LaPlace, LA</w:t>
            </w:r>
          </w:p>
        </w:tc>
      </w:tr>
      <w:tr w:rsidR="001C080D" w:rsidRPr="001C080D" w14:paraId="6C498A3D" w14:textId="77777777" w:rsidTr="009D567E">
        <w:trPr>
          <w:jc w:val="center"/>
        </w:trPr>
        <w:tc>
          <w:tcPr>
            <w:tcW w:w="6935" w:type="dxa"/>
          </w:tcPr>
          <w:p w14:paraId="2DA69FB4" w14:textId="77777777" w:rsidR="001C080D" w:rsidRPr="001C080D" w:rsidRDefault="001C080D" w:rsidP="001C080D">
            <w:pPr>
              <w:widowControl w:val="0"/>
              <w:spacing w:line="480" w:lineRule="auto"/>
              <w:jc w:val="center"/>
              <w:rPr>
                <w:rFonts w:ascii="Times New Roman" w:eastAsia="Times New Roman" w:hAnsi="Times New Roman" w:cs="Times New Roman"/>
              </w:rPr>
            </w:pPr>
            <w:r w:rsidRPr="001C080D">
              <w:rPr>
                <w:rFonts w:ascii="Times New Roman" w:eastAsia="Times New Roman" w:hAnsi="Times New Roman" w:cs="Times New Roman"/>
              </w:rPr>
              <w:t>* * *</w:t>
            </w:r>
          </w:p>
        </w:tc>
      </w:tr>
    </w:tbl>
    <w:p w14:paraId="5C493BCC" w14:textId="77777777" w:rsidR="001C080D" w:rsidRPr="001C080D" w:rsidRDefault="001C080D" w:rsidP="001C080D">
      <w:pPr>
        <w:jc w:val="both"/>
        <w:rPr>
          <w:rFonts w:ascii="Times New Roman" w:eastAsia="Times New Roman" w:hAnsi="Times New Roman" w:cs="Times New Roman"/>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1C080D" w:rsidRPr="001C080D" w14:paraId="77EFE20C" w14:textId="77777777" w:rsidTr="009D567E">
        <w:trPr>
          <w:tblHeader/>
          <w:jc w:val="center"/>
        </w:trPr>
        <w:tc>
          <w:tcPr>
            <w:tcW w:w="7020" w:type="dxa"/>
            <w:shd w:val="clear" w:color="auto" w:fill="auto"/>
          </w:tcPr>
          <w:p w14:paraId="0087E1D9"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Table 1 – Wastes Excluded</w:t>
            </w:r>
          </w:p>
        </w:tc>
      </w:tr>
      <w:tr w:rsidR="001C080D" w:rsidRPr="001C080D" w14:paraId="0598389E" w14:textId="77777777" w:rsidTr="009D567E">
        <w:trPr>
          <w:tblHeader/>
          <w:jc w:val="center"/>
        </w:trPr>
        <w:tc>
          <w:tcPr>
            <w:tcW w:w="7020" w:type="dxa"/>
            <w:shd w:val="clear" w:color="auto" w:fill="auto"/>
          </w:tcPr>
          <w:p w14:paraId="48BFEA9C"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rPr>
              <w:t>Lyondell Chemical Company, Lake Charles, LA</w:t>
            </w:r>
          </w:p>
        </w:tc>
      </w:tr>
      <w:tr w:rsidR="001C080D" w:rsidRPr="001C080D" w14:paraId="6D78446A" w14:textId="77777777" w:rsidTr="009D567E">
        <w:trPr>
          <w:jc w:val="center"/>
        </w:trPr>
        <w:tc>
          <w:tcPr>
            <w:tcW w:w="7020" w:type="dxa"/>
            <w:shd w:val="clear" w:color="auto" w:fill="auto"/>
          </w:tcPr>
          <w:p w14:paraId="3BC0C5FD" w14:textId="77777777" w:rsidR="001C080D" w:rsidRPr="001C080D" w:rsidRDefault="001C080D" w:rsidP="001C080D">
            <w:pPr>
              <w:widowControl w:val="0"/>
              <w:spacing w:line="480" w:lineRule="auto"/>
              <w:jc w:val="center"/>
              <w:rPr>
                <w:rFonts w:ascii="Times New Roman" w:eastAsia="Times New Roman" w:hAnsi="Times New Roman" w:cs="Times New Roman"/>
              </w:rPr>
            </w:pPr>
            <w:r w:rsidRPr="001C080D">
              <w:rPr>
                <w:rFonts w:ascii="Times New Roman" w:eastAsia="Times New Roman" w:hAnsi="Times New Roman" w:cs="Times New Roman"/>
              </w:rPr>
              <w:t>* * *</w:t>
            </w:r>
          </w:p>
        </w:tc>
      </w:tr>
    </w:tbl>
    <w:p w14:paraId="39E5779E" w14:textId="77777777" w:rsidR="001C080D" w:rsidRPr="001C080D" w:rsidRDefault="001C080D" w:rsidP="001C080D">
      <w:pPr>
        <w:spacing w:line="480" w:lineRule="auto"/>
        <w:jc w:val="both"/>
        <w:rPr>
          <w:rFonts w:ascii="Times New Roman" w:eastAsia="Times New Roman" w:hAnsi="Times New Roman" w:cs="Times New Roman"/>
          <w:b/>
        </w:rPr>
      </w:pPr>
    </w:p>
    <w:tbl>
      <w:tblPr>
        <w:tblW w:w="699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1C080D" w:rsidRPr="001C080D" w14:paraId="07009727" w14:textId="77777777" w:rsidTr="009D567E">
        <w:trPr>
          <w:cantSplit/>
          <w:trHeight w:val="170"/>
          <w:tblHeader/>
          <w:jc w:val="center"/>
        </w:trPr>
        <w:tc>
          <w:tcPr>
            <w:tcW w:w="6999" w:type="dxa"/>
            <w:shd w:val="clear" w:color="auto" w:fill="auto"/>
            <w:vAlign w:val="center"/>
          </w:tcPr>
          <w:p w14:paraId="332AAB76" w14:textId="77777777" w:rsidR="001C080D" w:rsidRPr="001C080D" w:rsidRDefault="001C080D" w:rsidP="001C080D">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Times New Roman" w:hAnsi="Times New Roman" w:cs="Times New Roman"/>
                <w:kern w:val="2"/>
              </w:rPr>
            </w:pPr>
            <w:r w:rsidRPr="001C080D">
              <w:rPr>
                <w:rFonts w:ascii="Times New Roman" w:eastAsia="Times New Roman" w:hAnsi="Times New Roman" w:cs="Times New Roman"/>
                <w:kern w:val="2"/>
              </w:rPr>
              <w:t xml:space="preserve">Table 1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Wastes Excluded</w:t>
            </w:r>
          </w:p>
        </w:tc>
      </w:tr>
      <w:tr w:rsidR="001C080D" w:rsidRPr="001C080D" w14:paraId="476A7127" w14:textId="77777777" w:rsidTr="009D567E">
        <w:trPr>
          <w:trHeight w:val="152"/>
          <w:tblHeader/>
          <w:jc w:val="center"/>
        </w:trPr>
        <w:tc>
          <w:tcPr>
            <w:tcW w:w="6999" w:type="dxa"/>
            <w:shd w:val="clear" w:color="auto" w:fill="auto"/>
          </w:tcPr>
          <w:p w14:paraId="3CB35902" w14:textId="77777777" w:rsidR="001C080D" w:rsidRPr="001C080D" w:rsidRDefault="001C080D" w:rsidP="001C080D">
            <w:pPr>
              <w:widowControl w:val="0"/>
              <w:tabs>
                <w:tab w:val="left" w:pos="143"/>
                <w:tab w:val="left" w:pos="323"/>
                <w:tab w:val="left" w:pos="683"/>
                <w:tab w:val="left" w:pos="2843"/>
                <w:tab w:val="left" w:pos="3563"/>
                <w:tab w:val="left" w:pos="4283"/>
                <w:tab w:val="left" w:pos="5003"/>
              </w:tabs>
              <w:spacing w:line="480" w:lineRule="auto"/>
              <w:jc w:val="center"/>
              <w:rPr>
                <w:rFonts w:ascii="Times New Roman" w:eastAsia="Times New Roman" w:hAnsi="Times New Roman" w:cs="Times New Roman"/>
                <w:bCs/>
              </w:rPr>
            </w:pPr>
            <w:r w:rsidRPr="001C080D">
              <w:rPr>
                <w:rFonts w:ascii="Times New Roman" w:eastAsia="Times New Roman" w:hAnsi="Times New Roman" w:cs="Times New Roman"/>
                <w:bCs/>
              </w:rPr>
              <w:t xml:space="preserve">Marathon Oil Co., </w:t>
            </w:r>
            <w:proofErr w:type="spellStart"/>
            <w:r w:rsidRPr="001C080D">
              <w:rPr>
                <w:rFonts w:ascii="Times New Roman" w:eastAsia="Times New Roman" w:hAnsi="Times New Roman" w:cs="Times New Roman"/>
                <w:bCs/>
              </w:rPr>
              <w:t>Garyville</w:t>
            </w:r>
            <w:proofErr w:type="spellEnd"/>
            <w:r w:rsidRPr="001C080D">
              <w:rPr>
                <w:rFonts w:ascii="Times New Roman" w:eastAsia="Times New Roman" w:hAnsi="Times New Roman" w:cs="Times New Roman"/>
                <w:bCs/>
              </w:rPr>
              <w:t>, LA</w:t>
            </w:r>
          </w:p>
        </w:tc>
      </w:tr>
      <w:tr w:rsidR="001C080D" w:rsidRPr="001C080D" w14:paraId="2B9D1FEC" w14:textId="77777777" w:rsidTr="009D567E">
        <w:trPr>
          <w:jc w:val="center"/>
        </w:trPr>
        <w:tc>
          <w:tcPr>
            <w:tcW w:w="6999" w:type="dxa"/>
          </w:tcPr>
          <w:p w14:paraId="5983AD53" w14:textId="77777777" w:rsidR="001C080D" w:rsidRPr="001C080D" w:rsidRDefault="001C080D" w:rsidP="001C080D">
            <w:pPr>
              <w:widowControl w:val="0"/>
              <w:spacing w:line="480" w:lineRule="auto"/>
              <w:jc w:val="center"/>
              <w:rPr>
                <w:rFonts w:ascii="Times New Roman" w:eastAsia="Times New Roman" w:hAnsi="Times New Roman" w:cs="Times New Roman"/>
              </w:rPr>
            </w:pPr>
            <w:r w:rsidRPr="001C080D">
              <w:rPr>
                <w:rFonts w:ascii="Times New Roman" w:eastAsia="Times New Roman" w:hAnsi="Times New Roman" w:cs="Times New Roman"/>
              </w:rPr>
              <w:t>* * *</w:t>
            </w:r>
          </w:p>
        </w:tc>
      </w:tr>
    </w:tbl>
    <w:p w14:paraId="45DE613F" w14:textId="77777777" w:rsidR="001C080D" w:rsidRPr="001C080D" w:rsidRDefault="001C080D" w:rsidP="001C080D">
      <w:pPr>
        <w:spacing w:line="480" w:lineRule="auto"/>
        <w:rPr>
          <w:rFonts w:ascii="Times New Roman" w:eastAsia="Times New Roman" w:hAnsi="Times New Roman" w:cs="Times New Roman"/>
        </w:rPr>
      </w:pPr>
    </w:p>
    <w:tbl>
      <w:tblPr>
        <w:tblW w:w="701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1C080D" w:rsidRPr="001C080D" w14:paraId="2BB68240" w14:textId="77777777" w:rsidTr="009D567E">
        <w:trPr>
          <w:cantSplit/>
          <w:trHeight w:val="143"/>
          <w:tblHeader/>
          <w:jc w:val="center"/>
        </w:trPr>
        <w:tc>
          <w:tcPr>
            <w:tcW w:w="7018" w:type="dxa"/>
            <w:shd w:val="clear" w:color="auto" w:fill="auto"/>
            <w:vAlign w:val="center"/>
          </w:tcPr>
          <w:p w14:paraId="7F4596C8" w14:textId="77777777" w:rsidR="001C080D" w:rsidRPr="001C080D" w:rsidRDefault="001C080D" w:rsidP="001C080D">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Times New Roman" w:hAnsi="Times New Roman" w:cs="Times New Roman"/>
                <w:kern w:val="2"/>
              </w:rPr>
            </w:pPr>
            <w:r w:rsidRPr="001C080D">
              <w:rPr>
                <w:rFonts w:ascii="Times New Roman" w:eastAsia="Times New Roman" w:hAnsi="Times New Roman" w:cs="Times New Roman"/>
                <w:kern w:val="2"/>
              </w:rPr>
              <w:lastRenderedPageBreak/>
              <w:t xml:space="preserve">Table 1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Wastes Excluded</w:t>
            </w:r>
          </w:p>
        </w:tc>
      </w:tr>
      <w:tr w:rsidR="001C080D" w:rsidRPr="001C080D" w14:paraId="51CE0ADC" w14:textId="77777777" w:rsidTr="009D567E">
        <w:trPr>
          <w:trHeight w:val="143"/>
          <w:tblHeader/>
          <w:jc w:val="center"/>
        </w:trPr>
        <w:tc>
          <w:tcPr>
            <w:tcW w:w="7018" w:type="dxa"/>
            <w:shd w:val="clear" w:color="auto" w:fill="auto"/>
          </w:tcPr>
          <w:p w14:paraId="13AF9404"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rPr>
              <w:t>Motiva Enterprises LLC, Norco, LA</w:t>
            </w:r>
          </w:p>
        </w:tc>
      </w:tr>
      <w:tr w:rsidR="001C080D" w:rsidRPr="001C080D" w14:paraId="166A0C9A" w14:textId="77777777" w:rsidTr="009D567E">
        <w:trPr>
          <w:jc w:val="center"/>
        </w:trPr>
        <w:tc>
          <w:tcPr>
            <w:tcW w:w="7018" w:type="dxa"/>
          </w:tcPr>
          <w:p w14:paraId="6883769B" w14:textId="77777777" w:rsidR="001C080D" w:rsidRPr="001C080D" w:rsidRDefault="001C080D" w:rsidP="001C080D">
            <w:pPr>
              <w:widowControl w:val="0"/>
              <w:spacing w:line="480" w:lineRule="auto"/>
              <w:jc w:val="center"/>
              <w:rPr>
                <w:rFonts w:ascii="Times New Roman" w:eastAsia="Times New Roman" w:hAnsi="Times New Roman" w:cs="Times New Roman"/>
                <w:kern w:val="2"/>
              </w:rPr>
            </w:pPr>
            <w:r w:rsidRPr="001C080D">
              <w:rPr>
                <w:rFonts w:ascii="Times New Roman" w:eastAsia="Times New Roman" w:hAnsi="Times New Roman" w:cs="Times New Roman"/>
                <w:kern w:val="2"/>
              </w:rPr>
              <w:t>* * *</w:t>
            </w:r>
          </w:p>
        </w:tc>
      </w:tr>
    </w:tbl>
    <w:p w14:paraId="7D721FD2" w14:textId="77777777" w:rsidR="001C080D" w:rsidRPr="001C080D" w:rsidRDefault="001C080D" w:rsidP="001C080D">
      <w:pPr>
        <w:spacing w:line="480" w:lineRule="auto"/>
        <w:rPr>
          <w:rFonts w:ascii="Times New Roman" w:eastAsia="Times New Roman" w:hAnsi="Times New Roman" w:cs="Times New Roman"/>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0E0E0"/>
        <w:tblLook w:val="01E0" w:firstRow="1" w:lastRow="1" w:firstColumn="1" w:lastColumn="1" w:noHBand="0" w:noVBand="0"/>
      </w:tblPr>
      <w:tblGrid>
        <w:gridCol w:w="7020"/>
      </w:tblGrid>
      <w:tr w:rsidR="001C080D" w:rsidRPr="001C080D" w14:paraId="74F93E11" w14:textId="77777777" w:rsidTr="009D567E">
        <w:trPr>
          <w:tblHeader/>
        </w:trPr>
        <w:tc>
          <w:tcPr>
            <w:tcW w:w="7020" w:type="dxa"/>
            <w:shd w:val="clear" w:color="auto" w:fill="auto"/>
          </w:tcPr>
          <w:p w14:paraId="1E3BBE1E" w14:textId="77777777" w:rsidR="001C080D" w:rsidRPr="001C080D" w:rsidRDefault="001C080D" w:rsidP="001C080D">
            <w:pPr>
              <w:widowControl w:val="0"/>
              <w:spacing w:line="480" w:lineRule="auto"/>
              <w:ind w:left="-648"/>
              <w:jc w:val="center"/>
              <w:rPr>
                <w:rFonts w:ascii="Times New Roman" w:eastAsia="Times New Roman" w:hAnsi="Times New Roman" w:cs="Times New Roman"/>
                <w:bCs/>
                <w:kern w:val="2"/>
              </w:rPr>
            </w:pPr>
            <w:r w:rsidRPr="001C080D">
              <w:rPr>
                <w:rFonts w:ascii="Times New Roman" w:eastAsia="Times New Roman" w:hAnsi="Times New Roman" w:cs="Times New Roman"/>
                <w:kern w:val="2"/>
              </w:rPr>
              <w:t xml:space="preserve">Table 1 </w:t>
            </w:r>
            <w:r w:rsidRPr="001C080D">
              <w:rPr>
                <w:rFonts w:ascii="Times New Roman" w:eastAsia="Times New Roman" w:hAnsi="Times New Roman" w:cs="Times New Roman"/>
                <w:bCs/>
                <w:kern w:val="2"/>
              </w:rPr>
              <w:t>–</w:t>
            </w:r>
            <w:r w:rsidRPr="001C080D">
              <w:rPr>
                <w:rFonts w:ascii="Times New Roman" w:eastAsia="Times New Roman" w:hAnsi="Times New Roman" w:cs="Times New Roman"/>
                <w:kern w:val="2"/>
              </w:rPr>
              <w:t xml:space="preserve"> Wastes Excluded</w:t>
            </w:r>
          </w:p>
        </w:tc>
      </w:tr>
      <w:tr w:rsidR="001C080D" w:rsidRPr="001C080D" w14:paraId="58A82017" w14:textId="77777777" w:rsidTr="009D567E">
        <w:trPr>
          <w:tblHeader/>
        </w:trPr>
        <w:tc>
          <w:tcPr>
            <w:tcW w:w="7020" w:type="dxa"/>
            <w:shd w:val="clear" w:color="auto" w:fill="auto"/>
          </w:tcPr>
          <w:p w14:paraId="18CF02B9"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Syngenta Crop Protection, Inc., St. Gabriel, LA</w:t>
            </w:r>
          </w:p>
        </w:tc>
      </w:tr>
      <w:tr w:rsidR="001C080D" w:rsidRPr="001C080D" w14:paraId="75C6B8E5" w14:textId="77777777" w:rsidTr="009D567E">
        <w:tc>
          <w:tcPr>
            <w:tcW w:w="7020" w:type="dxa"/>
          </w:tcPr>
          <w:p w14:paraId="44E3E4A0"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 * *</w:t>
            </w:r>
          </w:p>
        </w:tc>
      </w:tr>
    </w:tbl>
    <w:p w14:paraId="63B0232C" w14:textId="77777777" w:rsidR="001C080D" w:rsidRPr="001C080D" w:rsidRDefault="001C080D" w:rsidP="001C080D">
      <w:pPr>
        <w:spacing w:line="480" w:lineRule="auto"/>
        <w:rPr>
          <w:rFonts w:ascii="Times New Roman" w:eastAsia="Times New Roman" w:hAnsi="Times New Roman" w:cs="Times New Roman"/>
        </w:rPr>
      </w:pPr>
    </w:p>
    <w:tbl>
      <w:tblPr>
        <w:tblW w:w="693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1C080D" w:rsidRPr="001C080D" w14:paraId="443B4940" w14:textId="77777777" w:rsidTr="001C080D">
        <w:trPr>
          <w:cantSplit/>
          <w:trHeight w:val="197"/>
          <w:tblHeader/>
          <w:jc w:val="center"/>
        </w:trPr>
        <w:tc>
          <w:tcPr>
            <w:tcW w:w="6935" w:type="dxa"/>
            <w:shd w:val="clear" w:color="auto" w:fill="FFFFFF"/>
            <w:vAlign w:val="center"/>
          </w:tcPr>
          <w:p w14:paraId="77424418" w14:textId="77777777" w:rsidR="001C080D" w:rsidRPr="001C080D" w:rsidRDefault="001C080D" w:rsidP="001C080D">
            <w:pPr>
              <w:spacing w:after="60"/>
              <w:ind w:firstLine="187"/>
              <w:jc w:val="center"/>
              <w:rPr>
                <w:rFonts w:ascii="Times New Roman" w:eastAsia="Times New Roman" w:hAnsi="Times New Roman" w:cs="Times New Roman"/>
                <w:kern w:val="2"/>
                <w:u w:val="single"/>
              </w:rPr>
            </w:pPr>
            <w:r w:rsidRPr="001C080D">
              <w:rPr>
                <w:rFonts w:ascii="Times New Roman" w:eastAsia="Times New Roman" w:hAnsi="Times New Roman" w:cs="Times New Roman"/>
                <w:kern w:val="2"/>
                <w:u w:val="single"/>
              </w:rPr>
              <w:t>Table 1 - Wastes Excluded</w:t>
            </w:r>
          </w:p>
        </w:tc>
      </w:tr>
      <w:tr w:rsidR="001C080D" w:rsidRPr="001C080D" w14:paraId="14CDA946" w14:textId="77777777" w:rsidTr="001C080D">
        <w:trPr>
          <w:cantSplit/>
          <w:trHeight w:val="170"/>
          <w:tblHeader/>
          <w:jc w:val="center"/>
        </w:trPr>
        <w:tc>
          <w:tcPr>
            <w:tcW w:w="6935" w:type="dxa"/>
            <w:tcBorders>
              <w:bottom w:val="single" w:sz="4" w:space="0" w:color="auto"/>
            </w:tcBorders>
            <w:shd w:val="clear" w:color="auto" w:fill="FFFFFF"/>
          </w:tcPr>
          <w:p w14:paraId="3175F1E5" w14:textId="77777777" w:rsidR="001C080D" w:rsidRPr="001C080D" w:rsidRDefault="001C080D" w:rsidP="001C080D">
            <w:pPr>
              <w:spacing w:after="60"/>
              <w:ind w:firstLine="187"/>
              <w:jc w:val="center"/>
              <w:rPr>
                <w:rFonts w:ascii="Times New Roman" w:eastAsia="Times New Roman" w:hAnsi="Times New Roman" w:cs="Times New Roman"/>
                <w:bCs/>
                <w:kern w:val="2"/>
                <w:u w:val="single"/>
              </w:rPr>
            </w:pPr>
            <w:r w:rsidRPr="001C080D">
              <w:rPr>
                <w:rFonts w:ascii="Times New Roman" w:eastAsia="Times New Roman" w:hAnsi="Times New Roman" w:cs="Times New Roman"/>
                <w:bCs/>
                <w:kern w:val="2"/>
                <w:u w:val="single"/>
              </w:rPr>
              <w:t>The Dow Chemical Company, Plaquemine, LA</w:t>
            </w:r>
          </w:p>
        </w:tc>
      </w:tr>
      <w:tr w:rsidR="001C080D" w:rsidRPr="001C080D" w14:paraId="260076B2" w14:textId="77777777" w:rsidTr="009D567E">
        <w:trPr>
          <w:jc w:val="center"/>
        </w:trPr>
        <w:tc>
          <w:tcPr>
            <w:tcW w:w="6935" w:type="dxa"/>
            <w:tcBorders>
              <w:top w:val="single" w:sz="4" w:space="0" w:color="auto"/>
              <w:bottom w:val="single" w:sz="4" w:space="0" w:color="auto"/>
            </w:tcBorders>
          </w:tcPr>
          <w:p w14:paraId="30E3960E" w14:textId="77777777" w:rsidR="001C080D" w:rsidRPr="001C080D" w:rsidRDefault="001C080D" w:rsidP="001C080D">
            <w:pPr>
              <w:spacing w:after="200" w:line="480" w:lineRule="auto"/>
              <w:rPr>
                <w:rFonts w:ascii="Times New Roman" w:eastAsia="Times New Roman" w:hAnsi="Times New Roman" w:cs="Times New Roman"/>
                <w:u w:val="single"/>
              </w:rPr>
            </w:pPr>
            <w:proofErr w:type="gramStart"/>
            <w:r w:rsidRPr="001C080D">
              <w:rPr>
                <w:rFonts w:ascii="Times New Roman" w:eastAsia="Times New Roman" w:hAnsi="Times New Roman" w:cs="Times New Roman"/>
                <w:u w:val="single"/>
              </w:rPr>
              <w:t>The solvents/EDC production unit, formerly owned and operated by The Dow Chemical Company, but currently owned and operated by Blue Cube Operations LLC since October 5, 2015, generates process wastewater effluent from an air pollution control system (wet scrubbing) that treats combustion gas produced from RCRA-permitted F-700 thermal treatment unit (incinerator), which combusts chlorinated organic waste feed streams carrying EPA listed hazardous waste numbers K016, K019, U044, U077, U080, U083, U210, U211, and U227.</w:t>
            </w:r>
            <w:proofErr w:type="gramEnd"/>
            <w:r w:rsidRPr="001C080D">
              <w:rPr>
                <w:rFonts w:ascii="Times New Roman" w:eastAsia="Times New Roman" w:hAnsi="Times New Roman" w:cs="Times New Roman"/>
                <w:u w:val="single"/>
              </w:rPr>
              <w:t xml:space="preserve"> </w:t>
            </w:r>
            <w:proofErr w:type="gramStart"/>
            <w:r w:rsidRPr="001C080D">
              <w:rPr>
                <w:rFonts w:ascii="Times New Roman" w:eastAsia="Times New Roman" w:hAnsi="Times New Roman" w:cs="Times New Roman"/>
                <w:u w:val="single"/>
              </w:rPr>
              <w:t xml:space="preserve">The specific hazardous waste streams combusted and their related EPA hazardous waste numbers are: Solvent Heavies (Tank D-700) – D001, D019, D022, D028, D032, D033, D034, D035, D039, and D040; EDC Heavies (Tank T-107) – D001, D018, D019, D022, D028, D032, D033, D035, D039, D040, </w:t>
            </w:r>
            <w:r w:rsidRPr="001C080D">
              <w:rPr>
                <w:rFonts w:ascii="Times New Roman" w:eastAsia="Times New Roman" w:hAnsi="Times New Roman" w:cs="Times New Roman"/>
                <w:u w:val="single"/>
              </w:rPr>
              <w:lastRenderedPageBreak/>
              <w:t>K019, U077, and U227; Hexes (Tanks D-13/D-15) – D019, D032, D033, D034, D039, K016, U210, and U211; Chlorine Taffy (from chlorine unit) – D019, D022, D032, D033, D034, and D039; General Waste (Tank D-42) – D001, D019, D022, D028, D032, D033, D034, D039, K016, K019, U044, U077, U080, U083, U210, and U211; VRU Waste (Tank D-930) – D001, D019, D022, D028, D033, D039, U044, U077, U080, U210, and U211; Glycol Ethers/PDC (from Dow’s glycol unit) – D001, D019, D022, D028, D032, D035, and D039.</w:t>
            </w:r>
            <w:proofErr w:type="gramEnd"/>
            <w:r w:rsidRPr="001C080D">
              <w:rPr>
                <w:rFonts w:ascii="Times New Roman" w:eastAsia="Times New Roman" w:hAnsi="Times New Roman" w:cs="Times New Roman"/>
                <w:u w:val="single"/>
              </w:rPr>
              <w:t xml:space="preserve"> The solvents/EDC process wastewater effluent </w:t>
            </w:r>
            <w:proofErr w:type="gramStart"/>
            <w:r w:rsidRPr="001C080D">
              <w:rPr>
                <w:rFonts w:ascii="Times New Roman" w:eastAsia="Times New Roman" w:hAnsi="Times New Roman" w:cs="Times New Roman"/>
                <w:u w:val="single"/>
              </w:rPr>
              <w:t>is discharged</w:t>
            </w:r>
            <w:proofErr w:type="gramEnd"/>
            <w:r w:rsidRPr="001C080D">
              <w:rPr>
                <w:rFonts w:ascii="Times New Roman" w:eastAsia="Times New Roman" w:hAnsi="Times New Roman" w:cs="Times New Roman"/>
                <w:u w:val="single"/>
              </w:rPr>
              <w:t xml:space="preserve"> through LPDES-permitted Internal Outfall 201 into the solvents east ditch. The Dow Chemical Company shall implement a sampling and </w:t>
            </w:r>
            <w:proofErr w:type="gramStart"/>
            <w:r w:rsidRPr="001C080D">
              <w:rPr>
                <w:rFonts w:ascii="Times New Roman" w:eastAsia="Times New Roman" w:hAnsi="Times New Roman" w:cs="Times New Roman"/>
                <w:u w:val="single"/>
              </w:rPr>
              <w:t>analysis monitoring</w:t>
            </w:r>
            <w:proofErr w:type="gramEnd"/>
            <w:r w:rsidRPr="001C080D">
              <w:rPr>
                <w:rFonts w:ascii="Times New Roman" w:eastAsia="Times New Roman" w:hAnsi="Times New Roman" w:cs="Times New Roman"/>
                <w:u w:val="single"/>
              </w:rPr>
              <w:t xml:space="preserve"> program that meets the following conditions for this hazardous waste number delisting exclusion to remain in effect.</w:t>
            </w:r>
          </w:p>
        </w:tc>
      </w:tr>
      <w:tr w:rsidR="001C080D" w:rsidRPr="001C080D" w14:paraId="19B3B7FF" w14:textId="77777777" w:rsidTr="009D567E">
        <w:trPr>
          <w:jc w:val="center"/>
        </w:trPr>
        <w:tc>
          <w:tcPr>
            <w:tcW w:w="6935" w:type="dxa"/>
            <w:tcBorders>
              <w:top w:val="single" w:sz="4" w:space="0" w:color="auto"/>
              <w:bottom w:val="single" w:sz="4" w:space="0" w:color="auto"/>
            </w:tcBorders>
          </w:tcPr>
          <w:p w14:paraId="7AD65BCF"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(1).  Testing</w:t>
            </w:r>
          </w:p>
          <w:p w14:paraId="0C8D098A"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Sample collections and analyses, including quality </w:t>
            </w:r>
            <w:proofErr w:type="gramStart"/>
            <w:r w:rsidRPr="001C080D">
              <w:rPr>
                <w:rFonts w:ascii="Times New Roman" w:eastAsia="Times New Roman" w:hAnsi="Times New Roman" w:cs="Times New Roman"/>
                <w:u w:val="single"/>
              </w:rPr>
              <w:t>control  procedures</w:t>
            </w:r>
            <w:proofErr w:type="gramEnd"/>
            <w:r w:rsidRPr="001C080D">
              <w:rPr>
                <w:rFonts w:ascii="Times New Roman" w:eastAsia="Times New Roman" w:hAnsi="Times New Roman" w:cs="Times New Roman"/>
                <w:u w:val="single"/>
              </w:rPr>
              <w:t xml:space="preserve">, shall be performed according to methodologies described in </w:t>
            </w:r>
            <w:r w:rsidRPr="001C080D">
              <w:rPr>
                <w:rFonts w:ascii="Times New Roman" w:eastAsia="Times New Roman" w:hAnsi="Times New Roman" w:cs="Times New Roman"/>
                <w:i/>
                <w:u w:val="single"/>
              </w:rPr>
              <w:t>Test Methods for Evaluating Solid Waste, Physical/Chemical Methods,</w:t>
            </w:r>
            <w:r w:rsidRPr="001C080D">
              <w:rPr>
                <w:rFonts w:ascii="Times New Roman" w:eastAsia="Times New Roman" w:hAnsi="Times New Roman" w:cs="Times New Roman"/>
                <w:u w:val="single"/>
              </w:rPr>
              <w:t xml:space="preserve"> EPA Publication Number SW-846, as incorporated by reference in LAC 33:V.110. All samples </w:t>
            </w:r>
            <w:proofErr w:type="gramStart"/>
            <w:r w:rsidRPr="001C080D">
              <w:rPr>
                <w:rFonts w:ascii="Times New Roman" w:eastAsia="Times New Roman" w:hAnsi="Times New Roman" w:cs="Times New Roman"/>
                <w:u w:val="single"/>
              </w:rPr>
              <w:t>shall be taken</w:t>
            </w:r>
            <w:proofErr w:type="gramEnd"/>
            <w:r w:rsidRPr="001C080D">
              <w:rPr>
                <w:rFonts w:ascii="Times New Roman" w:eastAsia="Times New Roman" w:hAnsi="Times New Roman" w:cs="Times New Roman"/>
                <w:u w:val="single"/>
              </w:rPr>
              <w:t xml:space="preserve"> while the F-700 thermal treatment unit is operating within 70 percent of its permitted maximum hazardous waste feed rate. All sampling and </w:t>
            </w:r>
            <w:r w:rsidRPr="001C080D">
              <w:rPr>
                <w:rFonts w:ascii="Times New Roman" w:eastAsia="Times New Roman" w:hAnsi="Times New Roman" w:cs="Times New Roman"/>
                <w:u w:val="single"/>
              </w:rPr>
              <w:lastRenderedPageBreak/>
              <w:t xml:space="preserve">analytical results including quality control information </w:t>
            </w:r>
            <w:proofErr w:type="gramStart"/>
            <w:r w:rsidRPr="001C080D">
              <w:rPr>
                <w:rFonts w:ascii="Times New Roman" w:eastAsia="Times New Roman" w:hAnsi="Times New Roman" w:cs="Times New Roman"/>
                <w:u w:val="single"/>
              </w:rPr>
              <w:t>shall be reported</w:t>
            </w:r>
            <w:proofErr w:type="gramEnd"/>
            <w:r w:rsidRPr="001C080D">
              <w:rPr>
                <w:rFonts w:ascii="Times New Roman" w:eastAsia="Times New Roman" w:hAnsi="Times New Roman" w:cs="Times New Roman"/>
                <w:u w:val="single"/>
              </w:rPr>
              <w:t xml:space="preserve"> to the department.</w:t>
            </w:r>
          </w:p>
        </w:tc>
      </w:tr>
      <w:tr w:rsidR="001C080D" w:rsidRPr="001C080D" w14:paraId="50960BB0" w14:textId="77777777" w:rsidTr="009D567E">
        <w:trPr>
          <w:jc w:val="center"/>
        </w:trPr>
        <w:tc>
          <w:tcPr>
            <w:tcW w:w="6935" w:type="dxa"/>
            <w:tcBorders>
              <w:top w:val="single" w:sz="4" w:space="0" w:color="auto"/>
              <w:bottom w:val="single" w:sz="4" w:space="0" w:color="auto"/>
            </w:tcBorders>
          </w:tcPr>
          <w:p w14:paraId="1EA66258" w14:textId="77777777" w:rsidR="001C080D" w:rsidRPr="001C080D" w:rsidRDefault="001C080D" w:rsidP="001C080D">
            <w:pPr>
              <w:spacing w:after="200" w:line="276" w:lineRule="auto"/>
              <w:rPr>
                <w:rFonts w:ascii="Times New Roman" w:eastAsia="Times New Roman" w:hAnsi="Times New Roman" w:cs="Times New Roman"/>
                <w:noProof/>
                <w:u w:val="single"/>
              </w:rPr>
            </w:pPr>
            <w:r w:rsidRPr="001C080D">
              <w:rPr>
                <w:rFonts w:ascii="Times New Roman" w:eastAsia="Times New Roman" w:hAnsi="Times New Roman" w:cs="Times New Roman"/>
                <w:noProof/>
                <w:u w:val="single"/>
              </w:rPr>
              <w:lastRenderedPageBreak/>
              <w:t>(1)(A).  Initial Organic Verification Testing of Solvents/EDC Process Wastewater Effluent</w:t>
            </w:r>
          </w:p>
          <w:p w14:paraId="70177FFD"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noProof/>
                <w:u w:val="single"/>
              </w:rPr>
              <w:t>During the first six months after promulgation of this delisting exclusion, The Dow Chemical Company shall collect and analyze a monthly grab sample of solvents/EDC process wastewater effluent for Condition (3)(A) - organic constituents. If the analytical results obtained during the six monthly test events are significantly below Condition (3)(A) - delisting exclusion levels, as determined by the department in writing, then The Dow Chemical Company may replace Condition (1)(A) - organic testing with Condition (1)(B). Condition (1)(A) shall remain in effect indefinitely until the department makes this determination.</w:t>
            </w:r>
          </w:p>
        </w:tc>
      </w:tr>
      <w:tr w:rsidR="001C080D" w:rsidRPr="001C080D" w14:paraId="0F973151" w14:textId="77777777" w:rsidTr="009D567E">
        <w:trPr>
          <w:jc w:val="center"/>
        </w:trPr>
        <w:tc>
          <w:tcPr>
            <w:tcW w:w="6935" w:type="dxa"/>
            <w:tcBorders>
              <w:top w:val="single" w:sz="4" w:space="0" w:color="auto"/>
              <w:bottom w:val="single" w:sz="4" w:space="0" w:color="auto"/>
            </w:tcBorders>
          </w:tcPr>
          <w:p w14:paraId="274B45AB"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(1)(B).  Subsequent Organic Verification Testing of Solvents/EDC Process Wastewater Effluent</w:t>
            </w:r>
          </w:p>
          <w:p w14:paraId="0DBC65B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Following satisfactory completion of Condition (1)(A) and written concurrence by the department, The Dow Chemical Company shall continue to collect and analyze grab samples annually thereafter for Condition (3)(A) - organic constituents on a randomly chosen operating day during the same operating month as the previous year’s </w:t>
            </w:r>
            <w:r w:rsidRPr="001C080D">
              <w:rPr>
                <w:rFonts w:ascii="Times New Roman" w:eastAsia="Times New Roman" w:hAnsi="Times New Roman" w:cs="Times New Roman"/>
                <w:u w:val="single"/>
              </w:rPr>
              <w:lastRenderedPageBreak/>
              <w:t>sampling event. If the department determines, in writing, that the analytical results obtained during the annual test events are significantly below delisting exclusion levels in Condition (3)(A), then The Dow Chemical Company may discontinue further organic testing of solvents/EDC process wastewater effluent. Condition (1</w:t>
            </w:r>
            <w:proofErr w:type="gramStart"/>
            <w:r w:rsidRPr="001C080D">
              <w:rPr>
                <w:rFonts w:ascii="Times New Roman" w:eastAsia="Times New Roman" w:hAnsi="Times New Roman" w:cs="Times New Roman"/>
                <w:u w:val="single"/>
              </w:rPr>
              <w:t>)(</w:t>
            </w:r>
            <w:proofErr w:type="gramEnd"/>
            <w:r w:rsidRPr="001C080D">
              <w:rPr>
                <w:rFonts w:ascii="Times New Roman" w:eastAsia="Times New Roman" w:hAnsi="Times New Roman" w:cs="Times New Roman"/>
                <w:u w:val="single"/>
              </w:rPr>
              <w:t>B) shall remain in effect indefinitely until the department makes this determination.</w:t>
            </w:r>
          </w:p>
        </w:tc>
      </w:tr>
      <w:tr w:rsidR="001C080D" w:rsidRPr="001C080D" w14:paraId="3EA89D25" w14:textId="77777777" w:rsidTr="009D567E">
        <w:trPr>
          <w:jc w:val="center"/>
        </w:trPr>
        <w:tc>
          <w:tcPr>
            <w:tcW w:w="6935" w:type="dxa"/>
            <w:tcBorders>
              <w:top w:val="single" w:sz="4" w:space="0" w:color="auto"/>
              <w:bottom w:val="single" w:sz="4" w:space="0" w:color="auto"/>
            </w:tcBorders>
          </w:tcPr>
          <w:p w14:paraId="364BB25D"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 xml:space="preserve">(1)(C).  Polychlorinated </w:t>
            </w:r>
            <w:proofErr w:type="spellStart"/>
            <w:r w:rsidRPr="001C080D">
              <w:rPr>
                <w:rFonts w:ascii="Times New Roman" w:eastAsia="Times New Roman" w:hAnsi="Times New Roman" w:cs="Times New Roman"/>
                <w:u w:val="single"/>
              </w:rPr>
              <w:t>Dibenzodioxins</w:t>
            </w:r>
            <w:proofErr w:type="spellEnd"/>
            <w:r w:rsidRPr="001C080D">
              <w:rPr>
                <w:rFonts w:ascii="Times New Roman" w:eastAsia="Times New Roman" w:hAnsi="Times New Roman" w:cs="Times New Roman"/>
                <w:u w:val="single"/>
              </w:rPr>
              <w:t xml:space="preserve"> and Polychlorinated Dibenzofurans (Dioxins and Furans) Testing </w:t>
            </w:r>
          </w:p>
          <w:p w14:paraId="11066DA2"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During the first 30 days after promulgation of this delisting exclusion, The Dow Chemical Company shall collect and analyze a grab sample of Solvents/EDC process wastewater effluent for Condition (3)(B) - dioxins and furans. If the department determines, in writing, that analytical results are insignificant, then The Dow Chemical Company may discontinue dioxins and furans testing. Condition (1)(C) shall remain in effect indefinitely on a monthly, or other monitoring schedule as directed by the department, until the department makes this determination.</w:t>
            </w:r>
          </w:p>
        </w:tc>
      </w:tr>
      <w:tr w:rsidR="001C080D" w:rsidRPr="001C080D" w14:paraId="740997B0" w14:textId="77777777" w:rsidTr="009D567E">
        <w:trPr>
          <w:jc w:val="center"/>
        </w:trPr>
        <w:tc>
          <w:tcPr>
            <w:tcW w:w="6935" w:type="dxa"/>
            <w:tcBorders>
              <w:top w:val="single" w:sz="4" w:space="0" w:color="auto"/>
              <w:bottom w:val="single" w:sz="4" w:space="0" w:color="auto"/>
            </w:tcBorders>
          </w:tcPr>
          <w:p w14:paraId="65A15E3E" w14:textId="77777777" w:rsidR="001C080D" w:rsidRPr="001C080D" w:rsidRDefault="001C080D" w:rsidP="001C080D">
            <w:pPr>
              <w:spacing w:after="200" w:line="276" w:lineRule="auto"/>
              <w:rPr>
                <w:rFonts w:ascii="Times New Roman" w:eastAsia="Times New Roman" w:hAnsi="Times New Roman" w:cs="Times New Roman"/>
                <w:noProof/>
                <w:u w:val="single"/>
              </w:rPr>
            </w:pPr>
            <w:r w:rsidRPr="001C080D">
              <w:rPr>
                <w:rFonts w:ascii="Times New Roman" w:eastAsia="Times New Roman" w:hAnsi="Times New Roman" w:cs="Times New Roman"/>
                <w:noProof/>
                <w:u w:val="single"/>
              </w:rPr>
              <w:t>(2).  Waste Holding and Handling</w:t>
            </w:r>
          </w:p>
          <w:p w14:paraId="7AA96D80" w14:textId="77777777" w:rsidR="001C080D" w:rsidRPr="001C080D" w:rsidRDefault="001C080D" w:rsidP="001C080D">
            <w:pPr>
              <w:spacing w:after="200" w:line="480" w:lineRule="auto"/>
              <w:rPr>
                <w:rFonts w:ascii="Times New Roman" w:eastAsia="Times New Roman" w:hAnsi="Times New Roman" w:cs="Times New Roman"/>
                <w:noProof/>
                <w:u w:val="single"/>
              </w:rPr>
            </w:pPr>
            <w:r w:rsidRPr="001C080D">
              <w:rPr>
                <w:rFonts w:ascii="Times New Roman" w:eastAsia="Times New Roman" w:hAnsi="Times New Roman" w:cs="Times New Roman"/>
                <w:noProof/>
                <w:u w:val="single"/>
              </w:rPr>
              <w:lastRenderedPageBreak/>
              <w:t>Subject to conditions of this delisting exclusion, the solvents/EDC process wastewater effluent becomes nonhazardous industrial solid waste.</w:t>
            </w:r>
          </w:p>
          <w:p w14:paraId="50DAC6CD"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noProof/>
                <w:u w:val="single"/>
              </w:rPr>
              <w:t xml:space="preserve">This newly delisted waste shall always be managed and/or disposed in accordance with all applicable solid waste regulations. If constituent levels in any representative sample equal or exceed any Condition (3) - delisting exclusion level, the solvents/EDC process water effluent shall be immediately resampled and reanalyzed for constituents that exceeded delisting exclusion levels. If the repeat analysis is less than delisting exclusion levels, then The Dow Chemical Company shall resume Condition (1) - sampling and analysis. If reanalysis results equal or exceed any delisting exclusion levels, then within 45 days The Dow Chemical Company shall submit a report to the department describing probable causes for exceeding the constituent level and proposing corrective action measures. The department shall determine the necessary corrective action and shall notify The Dow Chemical Company, in writing, of the corrective action needed. The Dow Chemical Company shall implement the corrective action and reinitiate sampling and analysis for the constituent(s) per Condition (1). Within 30 days after receiving written notification, The Dow Chemical Company may </w:t>
            </w:r>
            <w:r w:rsidRPr="001C080D">
              <w:rPr>
                <w:rFonts w:ascii="Times New Roman" w:eastAsia="Times New Roman" w:hAnsi="Times New Roman" w:cs="Times New Roman"/>
                <w:noProof/>
                <w:u w:val="single"/>
              </w:rPr>
              <w:lastRenderedPageBreak/>
              <w:t>appeal the corrective action determined by the department. During the full period of corrective action determination and implementation this delisting exclusion of solvents/EDC process wastewater effluent shall remain in effect unless the department notifies The Dow Chemical Company, in writing, of a suspension or rescission of all or part of this delisting exclusion. Sampling and analysis shall continue through this period as long as this delisting exclusion remains in effect.</w:t>
            </w:r>
          </w:p>
        </w:tc>
      </w:tr>
      <w:tr w:rsidR="001C080D" w:rsidRPr="001C080D" w14:paraId="0D92BC2C" w14:textId="77777777" w:rsidTr="009D567E">
        <w:trPr>
          <w:jc w:val="center"/>
        </w:trPr>
        <w:tc>
          <w:tcPr>
            <w:tcW w:w="6935" w:type="dxa"/>
            <w:tcBorders>
              <w:top w:val="single" w:sz="4" w:space="0" w:color="auto"/>
              <w:bottom w:val="single" w:sz="4" w:space="0" w:color="auto"/>
            </w:tcBorders>
          </w:tcPr>
          <w:p w14:paraId="2F0D2663"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(3).  Delisting Exclusion Levels</w:t>
            </w:r>
          </w:p>
          <w:p w14:paraId="268669BA"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The following delisting exclusion levels have been determined safe by taking into account health-based criteria and analytical method detection limits. Condition (3) concentrations shall be measured in the extract from samples by the appropriate method(s) specified in LAC 33:V. 4903.E, and shall be less than the following levels:</w:t>
            </w:r>
          </w:p>
        </w:tc>
      </w:tr>
      <w:tr w:rsidR="001C080D" w:rsidRPr="001C080D" w14:paraId="311D6EFD" w14:textId="77777777" w:rsidTr="009D567E">
        <w:trPr>
          <w:jc w:val="center"/>
        </w:trPr>
        <w:tc>
          <w:tcPr>
            <w:tcW w:w="6935" w:type="dxa"/>
            <w:tcBorders>
              <w:top w:val="single" w:sz="4" w:space="0" w:color="auto"/>
              <w:bottom w:val="single" w:sz="4" w:space="0" w:color="auto"/>
            </w:tcBorders>
          </w:tcPr>
          <w:p w14:paraId="51498EEB"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(3)(A).  Organic Constituents in Solvents/EDC Process Wastewater Effluent</w:t>
            </w:r>
          </w:p>
          <w:p w14:paraId="0DFCAA4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Carbon Tetrachloride—0.057 mg/L; Methylene Chloride—0.089 mg/L.</w:t>
            </w:r>
          </w:p>
        </w:tc>
      </w:tr>
      <w:tr w:rsidR="001C080D" w:rsidRPr="001C080D" w14:paraId="6EBC02D9" w14:textId="77777777" w:rsidTr="009D567E">
        <w:trPr>
          <w:jc w:val="center"/>
        </w:trPr>
        <w:tc>
          <w:tcPr>
            <w:tcW w:w="6935" w:type="dxa"/>
            <w:tcBorders>
              <w:top w:val="single" w:sz="4" w:space="0" w:color="auto"/>
              <w:bottom w:val="single" w:sz="4" w:space="0" w:color="auto"/>
            </w:tcBorders>
          </w:tcPr>
          <w:p w14:paraId="5137A9CA"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(3)(B).  Dioxins and Furans in Solvents/EDC Process Wastewater Effluent</w:t>
            </w:r>
          </w:p>
          <w:p w14:paraId="5F7987F7"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The 15 congeners listed in Section 1.1 of EPA Publication Number SW-846 Method 8290—monitor only.</w:t>
            </w:r>
          </w:p>
          <w:p w14:paraId="546209E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(3)(B).  Dioxins and Furans in Solvents/EDC Process Wastewater Effluent</w:t>
            </w:r>
          </w:p>
          <w:p w14:paraId="5023212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The 15 congeners listed in Section 1.1 of EPA Publication Number SW-846 Method 8290—monitor only.</w:t>
            </w:r>
          </w:p>
        </w:tc>
      </w:tr>
      <w:tr w:rsidR="001C080D" w:rsidRPr="001C080D" w14:paraId="61CCA967" w14:textId="77777777" w:rsidTr="009D567E">
        <w:trPr>
          <w:jc w:val="center"/>
        </w:trPr>
        <w:tc>
          <w:tcPr>
            <w:tcW w:w="6935" w:type="dxa"/>
            <w:tcBorders>
              <w:top w:val="single" w:sz="4" w:space="0" w:color="auto"/>
              <w:bottom w:val="single" w:sz="4" w:space="0" w:color="auto"/>
            </w:tcBorders>
          </w:tcPr>
          <w:p w14:paraId="3DC640AF"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(4).  Changes in F-700 Thermal Treatment Unit Operating Conditions or Waste Feed Streams</w:t>
            </w:r>
          </w:p>
          <w:p w14:paraId="79AC4B2B" w14:textId="77777777" w:rsidR="001C080D" w:rsidRPr="001C080D" w:rsidRDefault="001C080D" w:rsidP="001C080D">
            <w:pPr>
              <w:spacing w:after="200" w:line="480" w:lineRule="auto"/>
              <w:rPr>
                <w:rFonts w:ascii="Times New Roman" w:eastAsia="Times New Roman" w:hAnsi="Times New Roman" w:cs="Times New Roman"/>
                <w:u w:val="single"/>
              </w:rPr>
            </w:pPr>
            <w:proofErr w:type="gramStart"/>
            <w:r w:rsidRPr="001C080D">
              <w:rPr>
                <w:rFonts w:ascii="Times New Roman" w:eastAsia="Times New Roman" w:hAnsi="Times New Roman" w:cs="Times New Roman"/>
                <w:u w:val="single"/>
              </w:rPr>
              <w:t>If Blue Cube Operations LLC significantly changes operating conditions of the solvents/EDC production unit F-700 Thermal Treatment Unit (incinerator) specified in the RCRA permit or delisting exclusion petition submitted by The Dow Chemical Company, or adds any previously unpermitted waste feed streams to the incinerator, or significantly changes any waste feed profile described in the delisting exclusion petition, and any of these actions would justify a Class 3 modification to Blue Cube Operations LLC’s RCRA permit pertaining to this combustion unit, The Dow Chemical Company shall notify the department, in writing.</w:t>
            </w:r>
            <w:proofErr w:type="gramEnd"/>
            <w:r w:rsidRPr="001C080D">
              <w:rPr>
                <w:rFonts w:ascii="Times New Roman" w:eastAsia="Times New Roman" w:hAnsi="Times New Roman" w:cs="Times New Roman"/>
                <w:u w:val="single"/>
              </w:rPr>
              <w:t xml:space="preserve"> Following receipt </w:t>
            </w:r>
            <w:r w:rsidRPr="001C080D">
              <w:rPr>
                <w:rFonts w:ascii="Times New Roman" w:eastAsia="Times New Roman" w:hAnsi="Times New Roman" w:cs="Times New Roman"/>
                <w:u w:val="single"/>
              </w:rPr>
              <w:lastRenderedPageBreak/>
              <w:t>of written acknowledgement by the department and after Blue Cube Operations LLC has implemented the changes, The Dow Chemical Company shall collect and analyze a grab sample of solvents/EDC process wastewater effluent for the full listing of constituents found in 40 CFR Part 264, Appendix IX—Groundwater Monitoring List (LAC 33:V.3325). If Appendix IX analysis results identify any hazardous constituent above delisting exclusion levels, or above universal treatment standards at 40 CFR 268.48, then The Dow Chemical Company shall reinstitute Condition (1) testing for a minimum of six months, or until the department determines, in writing, that no more monitoring is required. This conditional delisting exclusion of solvents/EDC process wastewater effluent shall remain in effect until the department deems circumstances warrant suspending, amending, or terminating this delisting exclusion. Blue Cube Operations LLC may eliminate feeding any waste stream to the incinerator at any time without affecting this delisting exclusion of the solvents/EDC process wastewater effluent or any monitoring schedule.</w:t>
            </w:r>
          </w:p>
        </w:tc>
      </w:tr>
    </w:tbl>
    <w:p w14:paraId="038BCD22" w14:textId="77777777" w:rsidR="001C080D" w:rsidRPr="001C080D" w:rsidRDefault="001C080D" w:rsidP="001C080D">
      <w:pPr>
        <w:spacing w:line="480" w:lineRule="auto"/>
        <w:rPr>
          <w:rFonts w:ascii="Times New Roman" w:eastAsia="Times New Roman" w:hAnsi="Times New Roman" w:cs="Times New Roman"/>
        </w:rPr>
      </w:pPr>
    </w:p>
    <w:tbl>
      <w:tblPr>
        <w:tblW w:w="693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1C080D" w:rsidRPr="001C080D" w14:paraId="04B783A7" w14:textId="77777777" w:rsidTr="009D567E">
        <w:trPr>
          <w:cantSplit/>
          <w:trHeight w:val="420"/>
          <w:tblHeader/>
          <w:jc w:val="center"/>
        </w:trPr>
        <w:tc>
          <w:tcPr>
            <w:tcW w:w="6935" w:type="dxa"/>
            <w:shd w:val="clear" w:color="auto" w:fill="auto"/>
            <w:vAlign w:val="center"/>
          </w:tcPr>
          <w:p w14:paraId="2549365E" w14:textId="77777777" w:rsidR="001C080D" w:rsidRPr="001C080D" w:rsidRDefault="001C080D" w:rsidP="001C080D">
            <w:pPr>
              <w:spacing w:after="60" w:line="480" w:lineRule="auto"/>
              <w:jc w:val="center"/>
              <w:rPr>
                <w:rFonts w:ascii="Times New Roman" w:eastAsia="Times New Roman" w:hAnsi="Times New Roman" w:cs="Times New Roman"/>
                <w:kern w:val="2"/>
                <w:u w:val="single"/>
              </w:rPr>
            </w:pPr>
            <w:r w:rsidRPr="001C080D">
              <w:rPr>
                <w:rFonts w:ascii="Times New Roman" w:eastAsia="Times New Roman" w:hAnsi="Times New Roman" w:cs="Times New Roman"/>
                <w:kern w:val="2"/>
                <w:u w:val="single"/>
              </w:rPr>
              <w:lastRenderedPageBreak/>
              <w:t>Table 1 - Wastes Excluded</w:t>
            </w:r>
          </w:p>
        </w:tc>
      </w:tr>
      <w:tr w:rsidR="001C080D" w:rsidRPr="001C080D" w14:paraId="7C94BC9A" w14:textId="77777777" w:rsidTr="009D567E">
        <w:trPr>
          <w:cantSplit/>
          <w:trHeight w:val="170"/>
          <w:tblHeader/>
          <w:jc w:val="center"/>
        </w:trPr>
        <w:tc>
          <w:tcPr>
            <w:tcW w:w="6935" w:type="dxa"/>
            <w:tcBorders>
              <w:bottom w:val="single" w:sz="4" w:space="0" w:color="auto"/>
            </w:tcBorders>
            <w:shd w:val="clear" w:color="auto" w:fill="auto"/>
          </w:tcPr>
          <w:p w14:paraId="0F42466F" w14:textId="77777777" w:rsidR="001C080D" w:rsidRPr="001C080D" w:rsidRDefault="001C080D" w:rsidP="001C080D">
            <w:pPr>
              <w:spacing w:after="60" w:line="480" w:lineRule="auto"/>
              <w:jc w:val="center"/>
              <w:rPr>
                <w:rFonts w:ascii="Times New Roman" w:eastAsia="Times New Roman" w:hAnsi="Times New Roman" w:cs="Times New Roman"/>
                <w:bCs/>
                <w:kern w:val="2"/>
                <w:u w:val="single"/>
              </w:rPr>
            </w:pPr>
            <w:r w:rsidRPr="001C080D">
              <w:rPr>
                <w:rFonts w:ascii="Times New Roman" w:eastAsia="Times New Roman" w:hAnsi="Times New Roman" w:cs="Times New Roman"/>
                <w:bCs/>
                <w:kern w:val="2"/>
                <w:u w:val="single"/>
              </w:rPr>
              <w:t>The Dow Chemical Company, Plaquemine, LA</w:t>
            </w:r>
          </w:p>
        </w:tc>
      </w:tr>
      <w:tr w:rsidR="001C080D" w:rsidRPr="001C080D" w14:paraId="37BBEC7A" w14:textId="77777777" w:rsidTr="009D567E">
        <w:trPr>
          <w:jc w:val="center"/>
        </w:trPr>
        <w:tc>
          <w:tcPr>
            <w:tcW w:w="6935" w:type="dxa"/>
            <w:tcBorders>
              <w:top w:val="single" w:sz="4" w:space="0" w:color="auto"/>
              <w:bottom w:val="single" w:sz="4" w:space="0" w:color="auto"/>
            </w:tcBorders>
          </w:tcPr>
          <w:p w14:paraId="71146D8F"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The solvents east ditch (owned by The Dow Chemical Company) historically receives process wastewater effluent from the solvents/EDC production unit, formerly owned and operated by The Dow Chemical Company, but currently owned and operated by Blue Cube Operations LLC since October 5, 2015. Blue Cube Operations LLC generates solvents/EDC process wastewater effluent from an air pollution control system (wet scrubbing) that treats combustion gas produced from RCRA-permitted F-700 thermal treatment unit (incinerator), which burns chlorinated organic wastes carrying EPA listed hazardous waste numbers K016, K019, U044, U045, U077, U080, U083, U210, U211, U227, and F024. </w:t>
            </w:r>
            <w:proofErr w:type="gramStart"/>
            <w:r w:rsidRPr="001C080D">
              <w:rPr>
                <w:rFonts w:ascii="Times New Roman" w:eastAsia="Times New Roman" w:hAnsi="Times New Roman" w:cs="Times New Roman"/>
                <w:u w:val="single"/>
              </w:rPr>
              <w:t xml:space="preserve">The specific hazardous wastes combusted and their EPA hazardous waste numbers are: Solvent Heavies (Tank D-700) – D001, D019, D022, D028, D032, D033, D034, D035, D039, and D040; EDC Heavies (Tank T-107) – D001, D018, D019, D022, D028, D032, D033, D035, D039, D040, K019, U077, and U227; Hexes (Tanks D-13/D-15) – D019, D032, D033, D034, D039, K016, U210, and U211; Chlorine Taffy (from chlorine unit) – D019, D022, D032, D033, D034, and D039; General Waste (Tank D-42) – D001, D019, D022, D028, D032, D033, D034, D039, K016, K019, U044, U077, U080, U083, U210, and U211; </w:t>
            </w:r>
            <w:r w:rsidRPr="001C080D">
              <w:rPr>
                <w:rFonts w:ascii="Times New Roman" w:eastAsia="Times New Roman" w:hAnsi="Times New Roman" w:cs="Times New Roman"/>
                <w:u w:val="single"/>
              </w:rPr>
              <w:lastRenderedPageBreak/>
              <w:t>VRU Waste (Tank D-930) – D001, D019, D022, D028, D033, D039, U044, U077, U080, U210, and U211; Glycol Ethers/PDC (from Dow’s glycol unit) – D001, D019, D022, D028, D032, D035, and D039.</w:t>
            </w:r>
            <w:proofErr w:type="gramEnd"/>
            <w:r w:rsidRPr="001C080D">
              <w:rPr>
                <w:rFonts w:ascii="Times New Roman" w:eastAsia="Times New Roman" w:hAnsi="Times New Roman" w:cs="Times New Roman"/>
                <w:u w:val="single"/>
              </w:rPr>
              <w:t xml:space="preserve"> The solvents east ditch sediment also carries the same aforementioned waste numbers (including U045 and F024, associated with past operations only). The Dow Chemical Company shall implement a sampling and </w:t>
            </w:r>
            <w:proofErr w:type="gramStart"/>
            <w:r w:rsidRPr="001C080D">
              <w:rPr>
                <w:rFonts w:ascii="Times New Roman" w:eastAsia="Times New Roman" w:hAnsi="Times New Roman" w:cs="Times New Roman"/>
                <w:u w:val="single"/>
              </w:rPr>
              <w:t>analysis monitoring</w:t>
            </w:r>
            <w:proofErr w:type="gramEnd"/>
            <w:r w:rsidRPr="001C080D">
              <w:rPr>
                <w:rFonts w:ascii="Times New Roman" w:eastAsia="Times New Roman" w:hAnsi="Times New Roman" w:cs="Times New Roman"/>
                <w:u w:val="single"/>
              </w:rPr>
              <w:t xml:space="preserve"> program that meets the following conditions for this hazardous waste number delisting exclusion to remain in effect.</w:t>
            </w:r>
          </w:p>
        </w:tc>
      </w:tr>
      <w:tr w:rsidR="001C080D" w:rsidRPr="001C080D" w14:paraId="4DCD76F9"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3F6BE2F5"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(1).  Testing</w:t>
            </w:r>
          </w:p>
          <w:p w14:paraId="28EE944B"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For monitoring purposes, solvents east ditch sediment samples for analysis shall either be:</w:t>
            </w:r>
          </w:p>
          <w:p w14:paraId="63BBB911"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a)</w:t>
            </w:r>
            <w:r w:rsidRPr="001C080D">
              <w:rPr>
                <w:rFonts w:ascii="Times New Roman" w:eastAsia="Times New Roman" w:hAnsi="Times New Roman" w:cs="Times New Roman"/>
                <w:u w:val="single"/>
              </w:rPr>
              <w:tab/>
              <w:t>in-situ ditch sediment collected according to an LDEQ-approved sampling and analysis plan; or</w:t>
            </w:r>
          </w:p>
          <w:p w14:paraId="33B7A761"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b)</w:t>
            </w:r>
            <w:r w:rsidRPr="001C080D">
              <w:rPr>
                <w:rFonts w:ascii="Times New Roman" w:eastAsia="Times New Roman" w:hAnsi="Times New Roman" w:cs="Times New Roman"/>
                <w:u w:val="single"/>
              </w:rPr>
              <w:tab/>
            </w:r>
            <w:proofErr w:type="gramStart"/>
            <w:r w:rsidRPr="001C080D">
              <w:rPr>
                <w:rFonts w:ascii="Times New Roman" w:eastAsia="Times New Roman" w:hAnsi="Times New Roman" w:cs="Times New Roman"/>
                <w:u w:val="single"/>
              </w:rPr>
              <w:t>solids</w:t>
            </w:r>
            <w:proofErr w:type="gramEnd"/>
            <w:r w:rsidRPr="001C080D">
              <w:rPr>
                <w:rFonts w:ascii="Times New Roman" w:eastAsia="Times New Roman" w:hAnsi="Times New Roman" w:cs="Times New Roman"/>
                <w:u w:val="single"/>
              </w:rPr>
              <w:t xml:space="preserve"> filtered from solvents/EDC process wastewater effluent before it comingles with any other waste stream or process area </w:t>
            </w:r>
            <w:proofErr w:type="spellStart"/>
            <w:r w:rsidRPr="001C080D">
              <w:rPr>
                <w:rFonts w:ascii="Times New Roman" w:eastAsia="Times New Roman" w:hAnsi="Times New Roman" w:cs="Times New Roman"/>
                <w:u w:val="single"/>
              </w:rPr>
              <w:t>stormwater</w:t>
            </w:r>
            <w:proofErr w:type="spellEnd"/>
            <w:r w:rsidRPr="001C080D">
              <w:rPr>
                <w:rFonts w:ascii="Times New Roman" w:eastAsia="Times New Roman" w:hAnsi="Times New Roman" w:cs="Times New Roman"/>
                <w:u w:val="single"/>
              </w:rPr>
              <w:t xml:space="preserve"> runoff.</w:t>
            </w:r>
          </w:p>
          <w:p w14:paraId="279D04CA"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Sample collections and analyses, including quality </w:t>
            </w:r>
            <w:proofErr w:type="gramStart"/>
            <w:r w:rsidRPr="001C080D">
              <w:rPr>
                <w:rFonts w:ascii="Times New Roman" w:eastAsia="Times New Roman" w:hAnsi="Times New Roman" w:cs="Times New Roman"/>
                <w:u w:val="single"/>
              </w:rPr>
              <w:t>control  procedures</w:t>
            </w:r>
            <w:proofErr w:type="gramEnd"/>
            <w:r w:rsidRPr="001C080D">
              <w:rPr>
                <w:rFonts w:ascii="Times New Roman" w:eastAsia="Times New Roman" w:hAnsi="Times New Roman" w:cs="Times New Roman"/>
                <w:u w:val="single"/>
              </w:rPr>
              <w:t xml:space="preserve">, shall be performed according to methodologies described </w:t>
            </w:r>
            <w:r w:rsidRPr="001C080D">
              <w:rPr>
                <w:rFonts w:ascii="Times New Roman" w:eastAsia="Times New Roman" w:hAnsi="Times New Roman" w:cs="Times New Roman"/>
                <w:u w:val="single"/>
              </w:rPr>
              <w:lastRenderedPageBreak/>
              <w:t xml:space="preserve">in </w:t>
            </w:r>
            <w:r w:rsidRPr="001C080D">
              <w:rPr>
                <w:rFonts w:ascii="Times New Roman" w:eastAsia="Times New Roman" w:hAnsi="Times New Roman" w:cs="Times New Roman"/>
                <w:i/>
                <w:u w:val="single"/>
              </w:rPr>
              <w:t>Test Methods for Evaluating Solid Waste, Physical/Chemical Methods</w:t>
            </w:r>
            <w:r w:rsidRPr="001C080D">
              <w:rPr>
                <w:rFonts w:ascii="Times New Roman" w:eastAsia="Times New Roman" w:hAnsi="Times New Roman" w:cs="Times New Roman"/>
                <w:u w:val="single"/>
              </w:rPr>
              <w:t xml:space="preserve">, EPA Publication Number SW-846, as incorporated by reference in LAC 33:V.110. All samples </w:t>
            </w:r>
            <w:proofErr w:type="gramStart"/>
            <w:r w:rsidRPr="001C080D">
              <w:rPr>
                <w:rFonts w:ascii="Times New Roman" w:eastAsia="Times New Roman" w:hAnsi="Times New Roman" w:cs="Times New Roman"/>
                <w:u w:val="single"/>
              </w:rPr>
              <w:t>shall be taken</w:t>
            </w:r>
            <w:proofErr w:type="gramEnd"/>
            <w:r w:rsidRPr="001C080D">
              <w:rPr>
                <w:rFonts w:ascii="Times New Roman" w:eastAsia="Times New Roman" w:hAnsi="Times New Roman" w:cs="Times New Roman"/>
                <w:u w:val="single"/>
              </w:rPr>
              <w:t xml:space="preserve"> while the F-700 thermal treatment unit is operating within 70 percent of its permitted maximum hazardous waste feed rate. All results including quality control information </w:t>
            </w:r>
            <w:proofErr w:type="gramStart"/>
            <w:r w:rsidRPr="001C080D">
              <w:rPr>
                <w:rFonts w:ascii="Times New Roman" w:eastAsia="Times New Roman" w:hAnsi="Times New Roman" w:cs="Times New Roman"/>
                <w:u w:val="single"/>
              </w:rPr>
              <w:t>shall be reported</w:t>
            </w:r>
            <w:proofErr w:type="gramEnd"/>
            <w:r w:rsidRPr="001C080D">
              <w:rPr>
                <w:rFonts w:ascii="Times New Roman" w:eastAsia="Times New Roman" w:hAnsi="Times New Roman" w:cs="Times New Roman"/>
                <w:u w:val="single"/>
              </w:rPr>
              <w:t xml:space="preserve"> to the department.</w:t>
            </w:r>
          </w:p>
        </w:tc>
      </w:tr>
      <w:tr w:rsidR="001C080D" w:rsidRPr="001C080D" w14:paraId="1ECE8746"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5E5A1422"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 xml:space="preserve"> (1)(A).  Initial Organic Verification Testing of Solvents East Ditch Sediment</w:t>
            </w:r>
          </w:p>
          <w:p w14:paraId="40C348D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During the first six months after promulgation of this delisting exclusion, The Dow Chemical Company shall collect and analyze a sample of solvents east ditch sediment for Condition (3</w:t>
            </w:r>
            <w:proofErr w:type="gramStart"/>
            <w:r w:rsidRPr="001C080D">
              <w:rPr>
                <w:rFonts w:ascii="Times New Roman" w:eastAsia="Times New Roman" w:hAnsi="Times New Roman" w:cs="Times New Roman"/>
                <w:u w:val="single"/>
              </w:rPr>
              <w:t>)(</w:t>
            </w:r>
            <w:proofErr w:type="gramEnd"/>
            <w:r w:rsidRPr="001C080D">
              <w:rPr>
                <w:rFonts w:ascii="Times New Roman" w:eastAsia="Times New Roman" w:hAnsi="Times New Roman" w:cs="Times New Roman"/>
                <w:u w:val="single"/>
              </w:rPr>
              <w:t>A) - organic constituents. After completing this initial test event, The Dow Chemical Company shall sample and analyze for Condition (3</w:t>
            </w:r>
            <w:proofErr w:type="gramStart"/>
            <w:r w:rsidRPr="001C080D">
              <w:rPr>
                <w:rFonts w:ascii="Times New Roman" w:eastAsia="Times New Roman" w:hAnsi="Times New Roman" w:cs="Times New Roman"/>
                <w:u w:val="single"/>
              </w:rPr>
              <w:t>)(</w:t>
            </w:r>
            <w:proofErr w:type="gramEnd"/>
            <w:r w:rsidRPr="001C080D">
              <w:rPr>
                <w:rFonts w:ascii="Times New Roman" w:eastAsia="Times New Roman" w:hAnsi="Times New Roman" w:cs="Times New Roman"/>
                <w:u w:val="single"/>
              </w:rPr>
              <w:t>A) -organic constituents annually for up to three years afterward during the same operating period as the previous year’s sampling event. If the analytical results are significantly below Condition (3)(A) delisting exclusion levels, as determined by the department in writing, then The Dow Chemical Company may discontinue further organic monitoring of solvents east ditch sediment. Condition (1</w:t>
            </w:r>
            <w:proofErr w:type="gramStart"/>
            <w:r w:rsidRPr="001C080D">
              <w:rPr>
                <w:rFonts w:ascii="Times New Roman" w:eastAsia="Times New Roman" w:hAnsi="Times New Roman" w:cs="Times New Roman"/>
                <w:u w:val="single"/>
              </w:rPr>
              <w:t>)(</w:t>
            </w:r>
            <w:proofErr w:type="gramEnd"/>
            <w:r w:rsidRPr="001C080D">
              <w:rPr>
                <w:rFonts w:ascii="Times New Roman" w:eastAsia="Times New Roman" w:hAnsi="Times New Roman" w:cs="Times New Roman"/>
                <w:u w:val="single"/>
              </w:rPr>
              <w:t xml:space="preserve">A) </w:t>
            </w:r>
            <w:r w:rsidRPr="001C080D">
              <w:rPr>
                <w:rFonts w:ascii="Times New Roman" w:eastAsia="Times New Roman" w:hAnsi="Times New Roman" w:cs="Times New Roman"/>
                <w:u w:val="single"/>
              </w:rPr>
              <w:lastRenderedPageBreak/>
              <w:t>shall remain in effect on an annual basis indefinitely until the department makes this determination.</w:t>
            </w:r>
          </w:p>
        </w:tc>
      </w:tr>
      <w:tr w:rsidR="001C080D" w:rsidRPr="001C080D" w14:paraId="7392BEA7"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7428451E"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 xml:space="preserve">(1)(B).  Polychlorinated </w:t>
            </w:r>
            <w:proofErr w:type="spellStart"/>
            <w:r w:rsidRPr="001C080D">
              <w:rPr>
                <w:rFonts w:ascii="Times New Roman" w:eastAsia="Times New Roman" w:hAnsi="Times New Roman" w:cs="Times New Roman"/>
                <w:u w:val="single"/>
              </w:rPr>
              <w:t>Dibenzodioxins</w:t>
            </w:r>
            <w:proofErr w:type="spellEnd"/>
            <w:r w:rsidRPr="001C080D">
              <w:rPr>
                <w:rFonts w:ascii="Times New Roman" w:eastAsia="Times New Roman" w:hAnsi="Times New Roman" w:cs="Times New Roman"/>
                <w:u w:val="single"/>
              </w:rPr>
              <w:t xml:space="preserve"> and Polychlorinated Dibenzofurans (Dioxins and Furans) Monitoring</w:t>
            </w:r>
          </w:p>
          <w:p w14:paraId="47F0950C"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During the first 30 days after promulgation of this delisting exclusion, The Dow Chemical Company shall collect and analyze a solvents east ditch sediment sample for Condition (3)(B) - dioxins and furans. After that, The Dow Chemical Company shall sample and analyze for Condition (3)(B) - dioxins and furans once every three years beginning three years after the initial sampling event and during the same operating month as the previous year’s sampling event. If the department determines, in writing, that analytical results are significantly below universal treatment standards, then The Dow Chemical Company may discontinue further monitoring of solvents east ditch sediment for dioxins and furans. Condition (1</w:t>
            </w:r>
            <w:proofErr w:type="gramStart"/>
            <w:r w:rsidRPr="001C080D">
              <w:rPr>
                <w:rFonts w:ascii="Times New Roman" w:eastAsia="Times New Roman" w:hAnsi="Times New Roman" w:cs="Times New Roman"/>
                <w:u w:val="single"/>
              </w:rPr>
              <w:t>)(</w:t>
            </w:r>
            <w:proofErr w:type="gramEnd"/>
            <w:r w:rsidRPr="001C080D">
              <w:rPr>
                <w:rFonts w:ascii="Times New Roman" w:eastAsia="Times New Roman" w:hAnsi="Times New Roman" w:cs="Times New Roman"/>
                <w:u w:val="single"/>
              </w:rPr>
              <w:t>B) shall remain in effect indefinitely on a monthly, or other monitoring schedule as directed by the department, until the department makes this determination.</w:t>
            </w:r>
          </w:p>
        </w:tc>
      </w:tr>
      <w:tr w:rsidR="001C080D" w:rsidRPr="001C080D" w14:paraId="5D8E8C6B"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5FA90FF1"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(2).  Waste Holding and Handling</w:t>
            </w:r>
          </w:p>
          <w:p w14:paraId="73D57361"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Subject to conditions of this delisting exclusion, solvents east ditch sediment becomes nonhazardous industrial solid waste.</w:t>
            </w:r>
          </w:p>
          <w:p w14:paraId="5EB8407B"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This newly delisted waste </w:t>
            </w:r>
            <w:proofErr w:type="gramStart"/>
            <w:r w:rsidRPr="001C080D">
              <w:rPr>
                <w:rFonts w:ascii="Times New Roman" w:eastAsia="Times New Roman" w:hAnsi="Times New Roman" w:cs="Times New Roman"/>
                <w:u w:val="single"/>
              </w:rPr>
              <w:t>shall always be managed and/or disposed in accordance with all applicable solid waste regulations</w:t>
            </w:r>
            <w:proofErr w:type="gramEnd"/>
            <w:r w:rsidRPr="001C080D">
              <w:rPr>
                <w:rFonts w:ascii="Times New Roman" w:eastAsia="Times New Roman" w:hAnsi="Times New Roman" w:cs="Times New Roman"/>
                <w:u w:val="single"/>
              </w:rPr>
              <w:t xml:space="preserve">. If constituent levels in any representative sample equal or exceed any Condition (3) - delisting exclusion levels, the solvents east ditch sediment </w:t>
            </w:r>
            <w:proofErr w:type="gramStart"/>
            <w:r w:rsidRPr="001C080D">
              <w:rPr>
                <w:rFonts w:ascii="Times New Roman" w:eastAsia="Times New Roman" w:hAnsi="Times New Roman" w:cs="Times New Roman"/>
                <w:u w:val="single"/>
              </w:rPr>
              <w:t>shall be immediately resampled and reanalyzed for constituents that exceed delisting exclusion levels</w:t>
            </w:r>
            <w:proofErr w:type="gramEnd"/>
            <w:r w:rsidRPr="001C080D">
              <w:rPr>
                <w:rFonts w:ascii="Times New Roman" w:eastAsia="Times New Roman" w:hAnsi="Times New Roman" w:cs="Times New Roman"/>
                <w:u w:val="single"/>
              </w:rPr>
              <w:t xml:space="preserve">. If the repeat analysis is less than delisting exclusion levels, then The Dow Chemical Company shall resume Condition (1) - sampling and analysis. If reanalysis results equal or exceed any delisting exclusion levels, then within 45 days The Dow Chemical Company shall submit a report to the department describing probable causes for exceeding the constituent level and proposing corrective action measures. The department shall determine the necessary corrective action and shall notify The Dow Chemical Company of the corrective action needed. The Dow Chemical Company shall implement the corrective action and reinitiate sampling and analysis for the constituent(s) per Condition (1). Within 30 days after receiving written notification, The Dow Chemical Company may appeal the </w:t>
            </w:r>
            <w:r w:rsidRPr="001C080D">
              <w:rPr>
                <w:rFonts w:ascii="Times New Roman" w:eastAsia="Times New Roman" w:hAnsi="Times New Roman" w:cs="Times New Roman"/>
                <w:u w:val="single"/>
              </w:rPr>
              <w:lastRenderedPageBreak/>
              <w:t>corrective action determined by the department. During the full period of corrective action determination and implementation, this delisting exclusion of solvents east ditch sediment shall remain in effect unless the department notifies The Dow Chemical Company, in writing of a suspension or rescission of all or part of this delisting exclusion. Sampling and analysis shall continue through this period, as long as this delisting exclusion remains in effect.</w:t>
            </w:r>
          </w:p>
        </w:tc>
      </w:tr>
      <w:tr w:rsidR="001C080D" w:rsidRPr="001C080D" w14:paraId="7E90E0C2"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40ADC7A0"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(3).  Delisting Exclusion Levels</w:t>
            </w:r>
          </w:p>
          <w:p w14:paraId="65D02E66"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The following delisting exclusion levels have been determined safe by taking into account health-based criteria and analytical method detection limits. Condition (3) concentrations shall be measured in the extract from samples by the appropriate method(s) specified in LAC 33:V. 4903.E. Concentrations in the extract shall be less than the following levels:</w:t>
            </w:r>
          </w:p>
        </w:tc>
      </w:tr>
      <w:tr w:rsidR="001C080D" w:rsidRPr="001C080D" w14:paraId="5383253C"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170B6D49"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(3)(A).  Organic Constituents in Solvents East Ditch Sediment</w:t>
            </w:r>
          </w:p>
          <w:p w14:paraId="2C6C5845"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Methylene Chloride—30.0 mg/kg.</w:t>
            </w:r>
          </w:p>
        </w:tc>
      </w:tr>
      <w:tr w:rsidR="001C080D" w:rsidRPr="001C080D" w14:paraId="654EEE32"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6938444A"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(3)(B).  Dioxins and Furans in Solvents East Ditch Sediment</w:t>
            </w:r>
          </w:p>
          <w:p w14:paraId="2EA0AE64"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 xml:space="preserve">The 15 congeners listed in Section 1.1 of EPA Publication Number SW-846 Method 8290—monitor only, </w:t>
            </w:r>
            <w:proofErr w:type="spellStart"/>
            <w:r w:rsidRPr="001C080D">
              <w:rPr>
                <w:rFonts w:ascii="Times New Roman" w:eastAsia="Times New Roman" w:hAnsi="Times New Roman" w:cs="Times New Roman"/>
                <w:u w:val="single"/>
              </w:rPr>
              <w:t>ug</w:t>
            </w:r>
            <w:proofErr w:type="spellEnd"/>
            <w:r w:rsidRPr="001C080D">
              <w:rPr>
                <w:rFonts w:ascii="Times New Roman" w:eastAsia="Times New Roman" w:hAnsi="Times New Roman" w:cs="Times New Roman"/>
                <w:u w:val="single"/>
              </w:rPr>
              <w:t>/kg.</w:t>
            </w:r>
          </w:p>
        </w:tc>
      </w:tr>
      <w:tr w:rsidR="001C080D" w:rsidRPr="001C080D" w14:paraId="766DBF55"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2014D307"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(4).  Changes in F-700 Thermal Treatment Unit Operating Conditions or Waste Feed Streams</w:t>
            </w:r>
          </w:p>
          <w:p w14:paraId="59F0655E" w14:textId="77777777" w:rsidR="001C080D" w:rsidRPr="001C080D" w:rsidRDefault="001C080D" w:rsidP="001C080D">
            <w:pPr>
              <w:spacing w:after="200" w:line="480" w:lineRule="auto"/>
              <w:rPr>
                <w:rFonts w:ascii="Times New Roman" w:eastAsia="Times New Roman" w:hAnsi="Times New Roman" w:cs="Times New Roman"/>
                <w:u w:val="single"/>
              </w:rPr>
            </w:pPr>
            <w:proofErr w:type="gramStart"/>
            <w:r w:rsidRPr="001C080D">
              <w:rPr>
                <w:rFonts w:ascii="Times New Roman" w:eastAsia="Times New Roman" w:hAnsi="Times New Roman" w:cs="Times New Roman"/>
                <w:u w:val="single"/>
              </w:rPr>
              <w:t>If Blue Cube Operations LLC significantly changes operating conditions of the solvents/EDC production unit F-700 Thermal Treatment Unit (incinerator) specified in the delisting exclusion petition submitted by The Dow Chemical Company, or adds any previously unpermitted waste feed streams to the incinerator, or significantly changes any waste feed profile described in the delisting exclusion petition, and any of these actions would justify a Class 3 modification to Blue Cube Operations LLC’s RCRA permit, The Dow Chemical Company shall notify the department in writing.</w:t>
            </w:r>
            <w:proofErr w:type="gramEnd"/>
            <w:r w:rsidRPr="001C080D">
              <w:rPr>
                <w:rFonts w:ascii="Times New Roman" w:eastAsia="Times New Roman" w:hAnsi="Times New Roman" w:cs="Times New Roman"/>
                <w:u w:val="single"/>
              </w:rPr>
              <w:t xml:space="preserve"> Following receipt of written acknowledgement by the department and after Blue Cube Operations LLC has implemented the changes, The Dow Chemical Company shall collect and analyze a solvents east ditch sediment sample for the full listing of constituents found in 40 CFR Part 264, Appendix IX—Groundwater Monitoring List (LAC 33:V.3325).  If Appendix IX analysis results identify any hazardous constituent above delisting exclusion levels, or above universal </w:t>
            </w:r>
            <w:r w:rsidRPr="001C080D">
              <w:rPr>
                <w:rFonts w:ascii="Times New Roman" w:eastAsia="Times New Roman" w:hAnsi="Times New Roman" w:cs="Times New Roman"/>
                <w:u w:val="single"/>
              </w:rPr>
              <w:lastRenderedPageBreak/>
              <w:t>treatment standards at 40 CFR 268.48, then The Dow Chemical Company shall reinstitute Condition (1) testing for a minimum of two six-month operating periods, or until the department determines, in writing, that no more monitoring is required. This conditional delisting exclusion of solvents east ditch sediment shall remain in effect until the department deems circumstances warrant suspending, amending, or terminating this delisting exclusion. Blue Cube Operations LLC may eliminate feeding any waste stream to the incinerator at any time without affecting the delisting exclusion of solvents east ditch sediment or any monitoring schedule.</w:t>
            </w:r>
          </w:p>
        </w:tc>
      </w:tr>
      <w:tr w:rsidR="001C080D" w:rsidRPr="001C080D" w14:paraId="105BCA9C" w14:textId="77777777" w:rsidTr="009D567E">
        <w:trPr>
          <w:jc w:val="center"/>
        </w:trPr>
        <w:tc>
          <w:tcPr>
            <w:tcW w:w="6935" w:type="dxa"/>
            <w:tcBorders>
              <w:top w:val="single" w:sz="4" w:space="0" w:color="auto"/>
              <w:left w:val="double" w:sz="4" w:space="0" w:color="auto"/>
              <w:bottom w:val="single" w:sz="4" w:space="0" w:color="auto"/>
              <w:right w:val="double" w:sz="4" w:space="0" w:color="auto"/>
            </w:tcBorders>
          </w:tcPr>
          <w:p w14:paraId="6B520734"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lastRenderedPageBreak/>
              <w:t>(5)</w:t>
            </w:r>
            <w:proofErr w:type="gramStart"/>
            <w:r w:rsidRPr="001C080D">
              <w:rPr>
                <w:rFonts w:ascii="Times New Roman" w:eastAsia="Times New Roman" w:hAnsi="Times New Roman" w:cs="Times New Roman"/>
                <w:u w:val="single"/>
              </w:rPr>
              <w:t>.  Changes</w:t>
            </w:r>
            <w:proofErr w:type="gramEnd"/>
            <w:r w:rsidRPr="001C080D">
              <w:rPr>
                <w:rFonts w:ascii="Times New Roman" w:eastAsia="Times New Roman" w:hAnsi="Times New Roman" w:cs="Times New Roman"/>
                <w:u w:val="single"/>
              </w:rPr>
              <w:t xml:space="preserve"> in Analytical Profile of Solvents East Ditch Sediment.</w:t>
            </w:r>
          </w:p>
          <w:p w14:paraId="44EB4250" w14:textId="77777777" w:rsidR="001C080D" w:rsidRPr="001C080D" w:rsidRDefault="001C080D" w:rsidP="001C080D">
            <w:pPr>
              <w:spacing w:after="200" w:line="480" w:lineRule="auto"/>
              <w:rPr>
                <w:rFonts w:ascii="Times New Roman" w:eastAsia="Times New Roman" w:hAnsi="Times New Roman" w:cs="Times New Roman"/>
                <w:u w:val="single"/>
              </w:rPr>
            </w:pPr>
            <w:r w:rsidRPr="001C080D">
              <w:rPr>
                <w:rFonts w:ascii="Times New Roman" w:eastAsia="Times New Roman" w:hAnsi="Times New Roman" w:cs="Times New Roman"/>
                <w:u w:val="single"/>
              </w:rPr>
              <w:t xml:space="preserve">Solvents </w:t>
            </w:r>
            <w:proofErr w:type="gramStart"/>
            <w:r w:rsidRPr="001C080D">
              <w:rPr>
                <w:rFonts w:ascii="Times New Roman" w:eastAsia="Times New Roman" w:hAnsi="Times New Roman" w:cs="Times New Roman"/>
                <w:u w:val="single"/>
              </w:rPr>
              <w:t>east ditch sediment in-situ</w:t>
            </w:r>
            <w:proofErr w:type="gramEnd"/>
            <w:r w:rsidRPr="001C080D">
              <w:rPr>
                <w:rFonts w:ascii="Times New Roman" w:eastAsia="Times New Roman" w:hAnsi="Times New Roman" w:cs="Times New Roman"/>
                <w:u w:val="single"/>
              </w:rPr>
              <w:t xml:space="preserve"> is excluded from certain EPA waste number categories presumptive upon the initial analysis for hazardous constituents in solids filtered from continuously generated solvents/EDC process wastewater effluent, as presented in the delisting exclusion petition submitted to LDEQ. This delisting exclusion does not extend to any additional hazardous waste numbers determined applicable subsequent to actual analysis of solvents </w:t>
            </w:r>
            <w:proofErr w:type="gramStart"/>
            <w:r w:rsidRPr="001C080D">
              <w:rPr>
                <w:rFonts w:ascii="Times New Roman" w:eastAsia="Times New Roman" w:hAnsi="Times New Roman" w:cs="Times New Roman"/>
                <w:u w:val="single"/>
              </w:rPr>
              <w:t xml:space="preserve">east </w:t>
            </w:r>
            <w:r w:rsidRPr="001C080D">
              <w:rPr>
                <w:rFonts w:ascii="Times New Roman" w:eastAsia="Times New Roman" w:hAnsi="Times New Roman" w:cs="Times New Roman"/>
                <w:u w:val="single"/>
              </w:rPr>
              <w:lastRenderedPageBreak/>
              <w:t>ditch sediment in-situ</w:t>
            </w:r>
            <w:proofErr w:type="gramEnd"/>
            <w:r w:rsidRPr="001C080D">
              <w:rPr>
                <w:rFonts w:ascii="Times New Roman" w:eastAsia="Times New Roman" w:hAnsi="Times New Roman" w:cs="Times New Roman"/>
                <w:u w:val="single"/>
              </w:rPr>
              <w:t>, nor absolve The Dow Chemical Company from any management or corrective action that might be required.</w:t>
            </w:r>
          </w:p>
        </w:tc>
      </w:tr>
    </w:tbl>
    <w:p w14:paraId="2C788A74" w14:textId="77777777" w:rsidR="001C080D" w:rsidRPr="001C080D" w:rsidRDefault="001C080D" w:rsidP="001C080D">
      <w:pPr>
        <w:spacing w:line="480" w:lineRule="auto"/>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5"/>
      </w:tblGrid>
      <w:tr w:rsidR="001C080D" w:rsidRPr="001C080D" w14:paraId="50877714" w14:textId="77777777" w:rsidTr="009D567E">
        <w:trPr>
          <w:jc w:val="center"/>
        </w:trPr>
        <w:tc>
          <w:tcPr>
            <w:tcW w:w="7095" w:type="dxa"/>
            <w:shd w:val="clear" w:color="auto" w:fill="auto"/>
          </w:tcPr>
          <w:p w14:paraId="27645E6E"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kern w:val="2"/>
              </w:rPr>
              <w:t>Table 2 – One-Time Wastes Excluded</w:t>
            </w:r>
          </w:p>
        </w:tc>
      </w:tr>
      <w:tr w:rsidR="001C080D" w:rsidRPr="001C080D" w14:paraId="523A0AB8" w14:textId="77777777" w:rsidTr="009D567E">
        <w:trPr>
          <w:jc w:val="center"/>
        </w:trPr>
        <w:tc>
          <w:tcPr>
            <w:tcW w:w="7095" w:type="dxa"/>
            <w:shd w:val="clear" w:color="auto" w:fill="auto"/>
          </w:tcPr>
          <w:p w14:paraId="77F0214A"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Murphy Exploration and Production Company, Amelia, LA</w:t>
            </w:r>
          </w:p>
        </w:tc>
      </w:tr>
      <w:tr w:rsidR="001C080D" w:rsidRPr="001C080D" w14:paraId="58509B8E" w14:textId="77777777" w:rsidTr="009D567E">
        <w:trPr>
          <w:jc w:val="center"/>
        </w:trPr>
        <w:tc>
          <w:tcPr>
            <w:tcW w:w="7095" w:type="dxa"/>
          </w:tcPr>
          <w:p w14:paraId="17BA11FB"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 * *</w:t>
            </w:r>
          </w:p>
        </w:tc>
      </w:tr>
    </w:tbl>
    <w:p w14:paraId="276C7A78" w14:textId="77777777" w:rsidR="001C080D" w:rsidRPr="001C080D" w:rsidRDefault="001C080D" w:rsidP="001C080D">
      <w:pPr>
        <w:spacing w:line="480" w:lineRule="auto"/>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1C080D" w:rsidRPr="001C080D" w14:paraId="1427B8CF" w14:textId="77777777" w:rsidTr="009D567E">
        <w:trPr>
          <w:jc w:val="center"/>
        </w:trPr>
        <w:tc>
          <w:tcPr>
            <w:tcW w:w="7098" w:type="dxa"/>
            <w:shd w:val="clear" w:color="auto" w:fill="auto"/>
          </w:tcPr>
          <w:p w14:paraId="07A305F2"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kern w:val="2"/>
              </w:rPr>
              <w:t>Table 2 – One-Time Wastes Excluded</w:t>
            </w:r>
          </w:p>
        </w:tc>
      </w:tr>
      <w:tr w:rsidR="001C080D" w:rsidRPr="001C080D" w14:paraId="6568AE21" w14:textId="77777777" w:rsidTr="009D567E">
        <w:trPr>
          <w:jc w:val="center"/>
        </w:trPr>
        <w:tc>
          <w:tcPr>
            <w:tcW w:w="7098" w:type="dxa"/>
            <w:shd w:val="clear" w:color="auto" w:fill="auto"/>
          </w:tcPr>
          <w:p w14:paraId="52E990E6"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Conrad Industries, Inc. (Conrad), Morgan City, LA</w:t>
            </w:r>
          </w:p>
        </w:tc>
      </w:tr>
      <w:tr w:rsidR="001C080D" w:rsidRPr="001C080D" w14:paraId="52402796" w14:textId="77777777" w:rsidTr="009D567E">
        <w:trPr>
          <w:jc w:val="center"/>
        </w:trPr>
        <w:tc>
          <w:tcPr>
            <w:tcW w:w="7098" w:type="dxa"/>
          </w:tcPr>
          <w:p w14:paraId="7BED1B60" w14:textId="77777777" w:rsidR="001C080D" w:rsidRPr="001C080D" w:rsidRDefault="001C080D" w:rsidP="001C080D">
            <w:pPr>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rPr>
              <w:t>* * *</w:t>
            </w:r>
          </w:p>
        </w:tc>
      </w:tr>
    </w:tbl>
    <w:p w14:paraId="023B8D1F" w14:textId="77777777" w:rsidR="001C080D" w:rsidRPr="001C080D" w:rsidRDefault="001C080D" w:rsidP="001C080D">
      <w:pPr>
        <w:jc w:val="both"/>
        <w:rPr>
          <w:rFonts w:ascii="Times New Roman" w:eastAsia="Times New Roman" w:hAnsi="Times New Roman" w:cs="Times New Roman"/>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1C080D" w:rsidRPr="001C080D" w14:paraId="6F94637E" w14:textId="77777777" w:rsidTr="009D567E">
        <w:trPr>
          <w:jc w:val="center"/>
        </w:trPr>
        <w:tc>
          <w:tcPr>
            <w:tcW w:w="7098" w:type="dxa"/>
            <w:shd w:val="clear" w:color="auto" w:fill="auto"/>
          </w:tcPr>
          <w:p w14:paraId="41A199C1"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kern w:val="2"/>
              </w:rPr>
              <w:t>Table 2 – One-Time Wastes Excluded</w:t>
            </w:r>
          </w:p>
        </w:tc>
      </w:tr>
      <w:tr w:rsidR="001C080D" w:rsidRPr="001C080D" w14:paraId="374FBA5C" w14:textId="77777777" w:rsidTr="009D567E">
        <w:trPr>
          <w:jc w:val="center"/>
        </w:trPr>
        <w:tc>
          <w:tcPr>
            <w:tcW w:w="7098" w:type="dxa"/>
            <w:shd w:val="clear" w:color="auto" w:fill="auto"/>
          </w:tcPr>
          <w:p w14:paraId="2AB9DC93" w14:textId="77777777" w:rsidR="001C080D" w:rsidRPr="001C080D" w:rsidRDefault="001C080D" w:rsidP="001C080D">
            <w:pPr>
              <w:widowControl w:val="0"/>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bCs/>
                <w:kern w:val="2"/>
              </w:rPr>
              <w:t>Marine Shale Processors, Inc., Amelia LA</w:t>
            </w:r>
          </w:p>
        </w:tc>
      </w:tr>
      <w:tr w:rsidR="001C080D" w:rsidRPr="001C080D" w14:paraId="77F53C1A" w14:textId="77777777" w:rsidTr="009D567E">
        <w:trPr>
          <w:jc w:val="center"/>
        </w:trPr>
        <w:tc>
          <w:tcPr>
            <w:tcW w:w="7098" w:type="dxa"/>
          </w:tcPr>
          <w:p w14:paraId="08AD35CA" w14:textId="77777777" w:rsidR="001C080D" w:rsidRPr="001C080D" w:rsidRDefault="001C080D" w:rsidP="001C080D">
            <w:pPr>
              <w:spacing w:line="480" w:lineRule="auto"/>
              <w:jc w:val="center"/>
              <w:rPr>
                <w:rFonts w:ascii="Times New Roman" w:eastAsia="Times New Roman" w:hAnsi="Times New Roman" w:cs="Times New Roman"/>
                <w:bCs/>
                <w:kern w:val="2"/>
              </w:rPr>
            </w:pPr>
            <w:r w:rsidRPr="001C080D">
              <w:rPr>
                <w:rFonts w:ascii="Times New Roman" w:eastAsia="Times New Roman" w:hAnsi="Times New Roman" w:cs="Times New Roman"/>
              </w:rPr>
              <w:t>* * *</w:t>
            </w:r>
          </w:p>
        </w:tc>
      </w:tr>
    </w:tbl>
    <w:p w14:paraId="160FBAB8" w14:textId="77777777" w:rsidR="001C080D" w:rsidRPr="001C080D" w:rsidRDefault="001C080D" w:rsidP="001C080D">
      <w:pPr>
        <w:jc w:val="both"/>
        <w:rPr>
          <w:rFonts w:ascii="Times New Roman" w:eastAsia="Times New Roman" w:hAnsi="Times New Roman" w:cs="Times New Roman"/>
          <w:b/>
        </w:rPr>
      </w:pPr>
    </w:p>
    <w:p w14:paraId="747ACF53" w14:textId="77777777" w:rsidR="001C080D" w:rsidRPr="001C080D" w:rsidRDefault="001C080D" w:rsidP="001C080D">
      <w:pPr>
        <w:jc w:val="center"/>
        <w:rPr>
          <w:rFonts w:ascii="Times New Roman" w:eastAsia="Times New Roman" w:hAnsi="Times New Roman" w:cs="Times New Roman"/>
          <w:b/>
        </w:rPr>
      </w:pPr>
    </w:p>
    <w:p w14:paraId="2670A2FB" w14:textId="77777777" w:rsidR="001C080D" w:rsidRPr="001C080D" w:rsidRDefault="001C080D" w:rsidP="001C080D">
      <w:pPr>
        <w:ind w:firstLine="720"/>
        <w:rPr>
          <w:rFonts w:ascii="Times New Roman" w:eastAsia="Times New Roman" w:hAnsi="Times New Roman" w:cs="Times New Roman"/>
          <w:kern w:val="2"/>
        </w:rPr>
      </w:pPr>
      <w:r w:rsidRPr="001C080D">
        <w:rPr>
          <w:rFonts w:ascii="Times New Roman" w:eastAsia="Times New Roman" w:hAnsi="Times New Roman" w:cs="Times New Roman"/>
          <w:kern w:val="2"/>
        </w:rPr>
        <w:t>AUTHORITY NOTE:</w:t>
      </w:r>
      <w:r w:rsidRPr="001C080D">
        <w:rPr>
          <w:rFonts w:ascii="Times New Roman" w:eastAsia="Times New Roman" w:hAnsi="Times New Roman" w:cs="Times New Roman"/>
          <w:kern w:val="2"/>
        </w:rPr>
        <w:tab/>
      </w:r>
      <w:r w:rsidRPr="001C080D">
        <w:rPr>
          <w:rFonts w:ascii="Times New Roman" w:eastAsia="Times New Roman" w:hAnsi="Times New Roman" w:cs="Times New Roman"/>
          <w:kern w:val="2"/>
        </w:rPr>
        <w:tab/>
        <w:t>Promulgated in accordance with R.S. 30:2180 et seq.</w:t>
      </w:r>
    </w:p>
    <w:p w14:paraId="4A294C87" w14:textId="77777777" w:rsidR="001C080D" w:rsidRPr="001C080D" w:rsidRDefault="001C080D" w:rsidP="001C080D">
      <w:pPr>
        <w:widowControl w:val="0"/>
        <w:ind w:firstLine="720"/>
        <w:jc w:val="both"/>
        <w:rPr>
          <w:rFonts w:ascii="Times New Roman" w:eastAsia="Times New Roman" w:hAnsi="Times New Roman" w:cs="Times New Roman"/>
          <w:kern w:val="2"/>
        </w:rPr>
      </w:pPr>
      <w:proofErr w:type="gramStart"/>
      <w:r w:rsidRPr="001C080D">
        <w:rPr>
          <w:rFonts w:ascii="Times New Roman" w:eastAsia="Times New Roman" w:hAnsi="Times New Roman" w:cs="Times New Roman"/>
          <w:kern w:val="2"/>
        </w:rPr>
        <w:t>HISTORICAL NOTE:</w:t>
      </w:r>
      <w:r w:rsidRPr="001C080D">
        <w:rPr>
          <w:rFonts w:ascii="Times New Roman" w:eastAsia="Times New Roman" w:hAnsi="Times New Roman" w:cs="Times New Roman"/>
          <w:kern w:val="2"/>
        </w:rPr>
        <w:tab/>
        <w:t xml:space="preserve">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w:t>
      </w:r>
      <w:r w:rsidRPr="001C080D">
        <w:rPr>
          <w:rFonts w:ascii="Times New Roman" w:eastAsia="Times New Roman" w:hAnsi="Times New Roman" w:cs="Times New Roman"/>
          <w:kern w:val="2"/>
        </w:rPr>
        <w:lastRenderedPageBreak/>
        <w:t>(November 2012), LR 40:1692 (September 2014), LR 42:2179 (December 2016), LR 43:1149 (June 2017), amended by the Office of the Secretary, Legal Affairs and Criminal Investigations Division, LR 43:2139 (November 2017), amended by the Office of the Secretary, Legal Affairs Division, LR 49:59 (January 2023), amended by the Office of the Secretary, Legal Affairs and Criminal Investigations Division, LR 50:</w:t>
      </w:r>
      <w:proofErr w:type="gramEnd"/>
    </w:p>
    <w:p w14:paraId="0D3498A8" w14:textId="77777777" w:rsidR="001C080D" w:rsidRDefault="001C080D"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44DD18FB"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0322ACD5" w:rsidR="008B6D06" w:rsidRPr="00900734" w:rsidRDefault="005F2D35" w:rsidP="00070424">
            <w:pPr>
              <w:rPr>
                <w:rFonts w:ascii="Palatino" w:hAnsi="Palatino"/>
                <w:sz w:val="20"/>
                <w:szCs w:val="20"/>
              </w:rPr>
            </w:pPr>
            <w:r>
              <w:rPr>
                <w:rFonts w:ascii="Palatino" w:hAnsi="Palatino"/>
                <w:sz w:val="20"/>
                <w:szCs w:val="20"/>
              </w:rPr>
              <w:t>David Mata</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4B6E34CF" w:rsidR="008B6D06" w:rsidRPr="00900734" w:rsidRDefault="005F2D35"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79DE70A9" w:rsidR="008B6D06" w:rsidRPr="00900734" w:rsidRDefault="005F2D35" w:rsidP="00070424">
            <w:pPr>
              <w:rPr>
                <w:rFonts w:ascii="Palatino" w:hAnsi="Palatino"/>
                <w:sz w:val="20"/>
                <w:szCs w:val="20"/>
              </w:rPr>
            </w:pPr>
            <w:r>
              <w:rPr>
                <w:rFonts w:ascii="Palatino" w:hAnsi="Palatino"/>
                <w:sz w:val="20"/>
                <w:szCs w:val="20"/>
              </w:rPr>
              <w:t>(225) 219-3231</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5AB92098" w:rsidR="008B6D06" w:rsidRPr="00900734" w:rsidRDefault="005F2D35" w:rsidP="00070424">
            <w:pPr>
              <w:rPr>
                <w:rFonts w:ascii="Palatino" w:hAnsi="Palatino"/>
                <w:sz w:val="20"/>
                <w:szCs w:val="20"/>
              </w:rPr>
            </w:pPr>
            <w:r>
              <w:rPr>
                <w:rFonts w:ascii="Palatino" w:hAnsi="Palatino"/>
                <w:sz w:val="20"/>
                <w:szCs w:val="20"/>
              </w:rPr>
              <w:t>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5A2C92AB" w:rsidR="005F2D35" w:rsidRPr="00900734" w:rsidRDefault="005F2D35" w:rsidP="00070424">
            <w:pPr>
              <w:rPr>
                <w:rFonts w:ascii="Palatino" w:hAnsi="Palatino"/>
                <w:sz w:val="20"/>
                <w:szCs w:val="20"/>
              </w:rPr>
            </w:pPr>
            <w:r>
              <w:rPr>
                <w:rFonts w:ascii="Palatino" w:hAnsi="Palatino"/>
                <w:sz w:val="20"/>
                <w:szCs w:val="20"/>
              </w:rPr>
              <w:t>602 N. 5th St.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513AB167" w:rsidR="008B6D06" w:rsidRPr="00900734" w:rsidRDefault="005F2D35" w:rsidP="00070424">
            <w:pPr>
              <w:rPr>
                <w:rFonts w:ascii="Palatino" w:hAnsi="Palatino"/>
                <w:sz w:val="20"/>
                <w:szCs w:val="20"/>
              </w:rPr>
            </w:pPr>
            <w:r w:rsidRPr="005F2D35">
              <w:rPr>
                <w:rFonts w:ascii="Palatino" w:hAnsi="Palatino"/>
                <w:sz w:val="20"/>
                <w:szCs w:val="20"/>
              </w:rPr>
              <w:t xml:space="preserve">Delisting Exclusion of Solvents/EDC Process Wastewater Effluent </w:t>
            </w:r>
            <w:r w:rsidR="00B81DDB">
              <w:rPr>
                <w:rFonts w:ascii="Palatino" w:hAnsi="Palatino"/>
                <w:sz w:val="20"/>
                <w:szCs w:val="20"/>
              </w:rPr>
              <w:t xml:space="preserve">and Solvents/East Ditch Sediment </w:t>
            </w:r>
            <w:r w:rsidRPr="005F2D35">
              <w:rPr>
                <w:rFonts w:ascii="Palatino" w:hAnsi="Palatino"/>
                <w:sz w:val="20"/>
                <w:szCs w:val="20"/>
              </w:rPr>
              <w:t>from Hazardous Waste for The Dow Chemical Company, Plaquemine.</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54B9EE8D" w:rsidR="008B6D06" w:rsidRPr="00900734" w:rsidRDefault="005F2D35" w:rsidP="00070424">
            <w:pPr>
              <w:rPr>
                <w:rFonts w:ascii="Palatino" w:hAnsi="Palatino"/>
                <w:sz w:val="20"/>
                <w:szCs w:val="20"/>
              </w:rPr>
            </w:pPr>
            <w:r>
              <w:rPr>
                <w:rFonts w:ascii="Palatino" w:hAnsi="Palatino"/>
                <w:sz w:val="20"/>
                <w:szCs w:val="20"/>
              </w:rPr>
              <w:t>Baton Rouge, LA</w:t>
            </w:r>
            <w:r w:rsidR="00DA2CA6">
              <w:rPr>
                <w:rFonts w:ascii="Palatino" w:hAnsi="Palatino"/>
                <w:sz w:val="20"/>
                <w:szCs w:val="20"/>
              </w:rPr>
              <w:t xml:space="preserve">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29D8C18A" w:rsidR="008B6D06" w:rsidRPr="00900734" w:rsidRDefault="00C22C62" w:rsidP="00070424">
            <w:pPr>
              <w:rPr>
                <w:rFonts w:ascii="Palatino" w:hAnsi="Palatino"/>
                <w:sz w:val="20"/>
                <w:szCs w:val="20"/>
              </w:rPr>
            </w:pPr>
            <w:r>
              <w:rPr>
                <w:rFonts w:ascii="Palatino" w:hAnsi="Palatino"/>
                <w:sz w:val="20"/>
                <w:szCs w:val="20"/>
              </w:rPr>
              <w:t>(LAC 33:V.4999.</w:t>
            </w:r>
            <w:r w:rsidR="001340EB">
              <w:rPr>
                <w:rFonts w:ascii="Palatino" w:hAnsi="Palatino"/>
                <w:sz w:val="20"/>
                <w:szCs w:val="20"/>
              </w:rPr>
              <w:t xml:space="preserve">Appendix </w:t>
            </w:r>
            <w:r>
              <w:rPr>
                <w:rFonts w:ascii="Palatino" w:hAnsi="Palatino"/>
                <w:sz w:val="20"/>
                <w:szCs w:val="20"/>
              </w:rPr>
              <w:t>E)</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0415FACB"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1B70A79A" w:rsidR="008B6D06" w:rsidRPr="00900734" w:rsidRDefault="00C22C62" w:rsidP="00070424">
            <w:pPr>
              <w:rPr>
                <w:rFonts w:ascii="Palatino" w:hAnsi="Palatino"/>
                <w:sz w:val="20"/>
                <w:szCs w:val="20"/>
              </w:rPr>
            </w:pPr>
            <w:r>
              <w:rPr>
                <w:rFonts w:ascii="Palatino" w:hAnsi="Palatino"/>
                <w:sz w:val="20"/>
                <w:szCs w:val="20"/>
              </w:rPr>
              <w:t xml:space="preserve"> </w:t>
            </w:r>
            <w:r w:rsidR="00DA11BA" w:rsidRPr="00DA11BA">
              <w:rPr>
                <w:rFonts w:ascii="Palatino" w:hAnsi="Palatino"/>
                <w:sz w:val="20"/>
                <w:szCs w:val="20"/>
              </w:rPr>
              <w:t xml:space="preserve">Upon promulgation                                                                            </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380670E4" w14:textId="77777777" w:rsidR="00AC0977" w:rsidRDefault="00AC0977" w:rsidP="00AC097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0872B357" w14:textId="1F96C8E1" w:rsidR="00AC0977" w:rsidRDefault="006C7E17" w:rsidP="006C7E1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t>There will be no cost or savings to state or local governmental units for implementing this rule</w:t>
      </w:r>
    </w:p>
    <w:p w14:paraId="403ADA0F" w14:textId="54426015" w:rsidR="00AC0977" w:rsidRDefault="00680EAE" w:rsidP="00AC097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proofErr w:type="gramStart"/>
      <w:r w:rsidR="00DA11BA" w:rsidRPr="00DA11BA">
        <w:rPr>
          <w:rFonts w:ascii="Palatino" w:hAnsi="Palatino"/>
          <w:sz w:val="20"/>
        </w:rPr>
        <w:t xml:space="preserve">The Dow Chemical Company is requesting to exclude (delist) from the hazardous waste regulations the </w:t>
      </w:r>
      <w:r w:rsidR="00D675B1" w:rsidRPr="00D675B1">
        <w:rPr>
          <w:rFonts w:ascii="Palatino" w:hAnsi="Palatino"/>
          <w:sz w:val="20"/>
        </w:rPr>
        <w:t>Solvents/</w:t>
      </w:r>
      <w:r w:rsidR="00BC0869">
        <w:rPr>
          <w:rFonts w:ascii="Palatino" w:hAnsi="Palatino"/>
          <w:sz w:val="20"/>
        </w:rPr>
        <w:t>Ethylene Dichloride</w:t>
      </w:r>
      <w:r w:rsidR="00C0768E">
        <w:rPr>
          <w:rFonts w:ascii="Palatino" w:hAnsi="Palatino"/>
          <w:sz w:val="20"/>
        </w:rPr>
        <w:t xml:space="preserve"> (</w:t>
      </w:r>
      <w:r w:rsidR="00D675B1" w:rsidRPr="00D675B1">
        <w:rPr>
          <w:rFonts w:ascii="Palatino" w:hAnsi="Palatino"/>
          <w:sz w:val="20"/>
        </w:rPr>
        <w:t>EDC</w:t>
      </w:r>
      <w:r w:rsidR="00C0768E">
        <w:rPr>
          <w:rFonts w:ascii="Palatino" w:hAnsi="Palatino"/>
          <w:sz w:val="20"/>
        </w:rPr>
        <w:t>)</w:t>
      </w:r>
      <w:r w:rsidR="00D675B1" w:rsidRPr="00D675B1">
        <w:rPr>
          <w:rFonts w:ascii="Palatino" w:hAnsi="Palatino"/>
          <w:sz w:val="20"/>
        </w:rPr>
        <w:t xml:space="preserve"> Process Wastewater Effluent </w:t>
      </w:r>
      <w:r w:rsidR="00B81DDB">
        <w:rPr>
          <w:rFonts w:ascii="Palatino" w:hAnsi="Palatino"/>
          <w:sz w:val="20"/>
        </w:rPr>
        <w:t xml:space="preserve">and Solvents/East Ditch sediment </w:t>
      </w:r>
      <w:r w:rsidR="00DA11BA" w:rsidRPr="00DA11BA">
        <w:rPr>
          <w:rFonts w:ascii="Palatino" w:hAnsi="Palatino"/>
          <w:sz w:val="20"/>
        </w:rPr>
        <w:t>generated by activities conducted by Blue Cube Operations</w:t>
      </w:r>
      <w:r w:rsidR="00C0768E">
        <w:rPr>
          <w:rFonts w:ascii="Palatino" w:hAnsi="Palatino"/>
          <w:sz w:val="20"/>
        </w:rPr>
        <w:t xml:space="preserve"> </w:t>
      </w:r>
      <w:r w:rsidR="00DA11BA" w:rsidRPr="00DA11BA">
        <w:rPr>
          <w:rFonts w:ascii="Palatino" w:hAnsi="Palatino"/>
          <w:sz w:val="20"/>
        </w:rPr>
        <w:t>LLC from the Solvents/EDC production unit, particularly from the F-700 thermal treatment unit (TTU) in Plaquemine, LA</w:t>
      </w:r>
      <w:r w:rsidR="00AC0977">
        <w:rPr>
          <w:rFonts w:ascii="Palatino" w:hAnsi="Palatino"/>
          <w:sz w:val="20"/>
        </w:rPr>
        <w:t xml:space="preserve"> permitted by the </w:t>
      </w:r>
      <w:r w:rsidR="006C7E17">
        <w:rPr>
          <w:rFonts w:ascii="Palatino" w:hAnsi="Palatino"/>
          <w:sz w:val="20"/>
        </w:rPr>
        <w:t>Resource Conservation and Recovery Act (</w:t>
      </w:r>
      <w:r w:rsidR="00AC0977">
        <w:rPr>
          <w:rFonts w:ascii="Palatino" w:hAnsi="Palatino"/>
          <w:sz w:val="20"/>
        </w:rPr>
        <w:t>RCRA</w:t>
      </w:r>
      <w:r w:rsidR="006C7E17">
        <w:rPr>
          <w:rFonts w:ascii="Palatino" w:hAnsi="Palatino"/>
          <w:sz w:val="20"/>
        </w:rPr>
        <w:t>)</w:t>
      </w:r>
      <w:r w:rsidR="00DA11BA" w:rsidRPr="00DA11BA">
        <w:rPr>
          <w:rFonts w:ascii="Palatino" w:hAnsi="Palatino"/>
          <w:sz w:val="20"/>
        </w:rPr>
        <w:t>.</w:t>
      </w:r>
      <w:proofErr w:type="gramEnd"/>
      <w:r w:rsidR="00DA11BA" w:rsidRPr="00DA11BA">
        <w:rPr>
          <w:rFonts w:ascii="Palatino" w:hAnsi="Palatino"/>
          <w:sz w:val="20"/>
        </w:rPr>
        <w:t xml:space="preserve"> This rulemaking is a one-time </w:t>
      </w:r>
      <w:proofErr w:type="gramStart"/>
      <w:r w:rsidR="00DA11BA" w:rsidRPr="00DA11BA">
        <w:rPr>
          <w:rFonts w:ascii="Palatino" w:hAnsi="Palatino"/>
          <w:sz w:val="20"/>
        </w:rPr>
        <w:t>delisting which</w:t>
      </w:r>
      <w:proofErr w:type="gramEnd"/>
      <w:r w:rsidR="00DA11BA" w:rsidRPr="00DA11BA">
        <w:rPr>
          <w:rFonts w:ascii="Palatino" w:hAnsi="Palatino"/>
          <w:sz w:val="20"/>
        </w:rPr>
        <w:t xml:space="preserve"> applies to the </w:t>
      </w:r>
      <w:r w:rsidR="008831D9" w:rsidRPr="008831D9">
        <w:rPr>
          <w:rFonts w:ascii="Palatino" w:hAnsi="Palatino"/>
          <w:sz w:val="20"/>
        </w:rPr>
        <w:t>Solvents/EDC Process Wastewater Effluent</w:t>
      </w:r>
      <w:r w:rsidR="00B81DDB">
        <w:rPr>
          <w:rFonts w:ascii="Palatino" w:hAnsi="Palatino"/>
          <w:sz w:val="20"/>
        </w:rPr>
        <w:t xml:space="preserve"> and Solvents/East Ditch sediment</w:t>
      </w:r>
      <w:r w:rsidR="008831D9" w:rsidRPr="008831D9">
        <w:rPr>
          <w:rFonts w:ascii="Palatino" w:hAnsi="Palatino"/>
          <w:sz w:val="20"/>
        </w:rPr>
        <w:t xml:space="preserve"> </w:t>
      </w:r>
      <w:r w:rsidR="00DA11BA" w:rsidRPr="00DA11BA">
        <w:rPr>
          <w:rFonts w:ascii="Palatino" w:hAnsi="Palatino"/>
          <w:sz w:val="20"/>
        </w:rPr>
        <w:t xml:space="preserve">that is a generated from an air pollution control system (wet scrubbing) that treats combustion gas produced from </w:t>
      </w:r>
      <w:r w:rsidR="00AC0977">
        <w:rPr>
          <w:rFonts w:ascii="Palatino" w:hAnsi="Palatino"/>
          <w:sz w:val="20"/>
        </w:rPr>
        <w:t xml:space="preserve">the </w:t>
      </w:r>
      <w:r w:rsidR="00DA11BA" w:rsidRPr="00DA11BA">
        <w:rPr>
          <w:rFonts w:ascii="Palatino" w:hAnsi="Palatino"/>
          <w:sz w:val="20"/>
        </w:rPr>
        <w:t>F-700</w:t>
      </w:r>
      <w:r w:rsidR="00C0768E">
        <w:rPr>
          <w:rFonts w:ascii="Palatino" w:hAnsi="Palatino"/>
          <w:sz w:val="20"/>
        </w:rPr>
        <w:t xml:space="preserve"> </w:t>
      </w:r>
      <w:r w:rsidR="00DA11BA" w:rsidRPr="00DA11BA">
        <w:rPr>
          <w:rFonts w:ascii="Palatino" w:hAnsi="Palatino"/>
          <w:sz w:val="20"/>
        </w:rPr>
        <w:t>TTU, which burns chlorinated organic wastes carrying Hazardous Waste</w:t>
      </w:r>
      <w:r w:rsidR="00AC0977">
        <w:rPr>
          <w:rFonts w:ascii="Palatino" w:hAnsi="Palatino"/>
          <w:sz w:val="20"/>
        </w:rPr>
        <w:t xml:space="preserve"> listed by the Environmental Protection Agency (</w:t>
      </w:r>
      <w:r w:rsidR="00AC0977" w:rsidRPr="00DA11BA">
        <w:rPr>
          <w:rFonts w:ascii="Palatino" w:hAnsi="Palatino"/>
          <w:sz w:val="20"/>
        </w:rPr>
        <w:t>EPA</w:t>
      </w:r>
      <w:r w:rsidR="00AC0977">
        <w:rPr>
          <w:rFonts w:ascii="Palatino" w:hAnsi="Palatino"/>
          <w:sz w:val="20"/>
        </w:rPr>
        <w:t>)</w:t>
      </w:r>
      <w:r w:rsidR="00DA11BA" w:rsidRPr="00DA11BA">
        <w:rPr>
          <w:rFonts w:ascii="Palatino" w:hAnsi="Palatino"/>
          <w:sz w:val="20"/>
        </w:rPr>
        <w:t xml:space="preserve">. The delisting was requested by the Dow Chemical Company to meet compliance with the Consent Agreement and Final Order (CAFO) directed by </w:t>
      </w:r>
      <w:r w:rsidR="00AC0977">
        <w:rPr>
          <w:rFonts w:ascii="Palatino" w:hAnsi="Palatino"/>
          <w:sz w:val="20"/>
        </w:rPr>
        <w:t xml:space="preserve">the </w:t>
      </w:r>
      <w:r w:rsidR="00DA11BA" w:rsidRPr="00DA11BA">
        <w:rPr>
          <w:rFonts w:ascii="Palatino" w:hAnsi="Palatino"/>
          <w:sz w:val="20"/>
        </w:rPr>
        <w:t>EPA</w:t>
      </w:r>
      <w:r w:rsidR="006C7E17">
        <w:rPr>
          <w:rFonts w:ascii="Palatino" w:hAnsi="Palatino"/>
          <w:sz w:val="20"/>
        </w:rPr>
        <w:t xml:space="preserve"> in 2012</w:t>
      </w:r>
      <w:r w:rsidR="00DA11BA" w:rsidRPr="00DA11BA">
        <w:rPr>
          <w:rFonts w:ascii="Palatino" w:hAnsi="Palatino"/>
          <w:sz w:val="20"/>
        </w:rPr>
        <w:t xml:space="preserve">. </w:t>
      </w:r>
      <w:r w:rsidR="00DA11BA" w:rsidRPr="00DA11BA">
        <w:rPr>
          <w:rFonts w:ascii="Palatino" w:hAnsi="Palatino"/>
          <w:sz w:val="20"/>
        </w:rPr>
        <w:lastRenderedPageBreak/>
        <w:t xml:space="preserve">This delisting applies particularly to the Solvents East Ditch sediment. </w:t>
      </w:r>
    </w:p>
    <w:p w14:paraId="2C7CC6B6" w14:textId="653F15F9" w:rsidR="006C1C27" w:rsidRPr="00D42DCA" w:rsidRDefault="00DA11BA" w:rsidP="00AC0977">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07234DD8" w14:textId="1EB48DC9" w:rsidR="00493842" w:rsidRDefault="008C4A02" w:rsidP="008831D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DA11BA" w:rsidRPr="00DA11BA">
        <w:rPr>
          <w:rFonts w:ascii="Palatino" w:hAnsi="Palatino"/>
          <w:sz w:val="20"/>
        </w:rPr>
        <w:t>There is no estimated effect on revenue collections of state or local governmental units resulting from this proposed rule</w:t>
      </w:r>
      <w:r w:rsidR="00AC0977">
        <w:rPr>
          <w:rFonts w:ascii="Palatino" w:hAnsi="Palatino"/>
          <w:sz w:val="20"/>
        </w:rPr>
        <w:t xml:space="preserve"> change</w:t>
      </w:r>
      <w:r w:rsidR="00DA11BA" w:rsidRPr="00DA11BA">
        <w:rPr>
          <w:rFonts w:ascii="Palatino" w:hAnsi="Palatino"/>
          <w:sz w:val="20"/>
        </w:rPr>
        <w:t>.</w:t>
      </w:r>
    </w:p>
    <w:p w14:paraId="0D186AD0" w14:textId="25A20896" w:rsidR="004F6187" w:rsidRDefault="004F6187"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79283553" w:rsidR="00493842"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8831D9" w:rsidRPr="008831D9">
        <w:rPr>
          <w:rFonts w:ascii="Palatino" w:hAnsi="Palatino"/>
          <w:sz w:val="20"/>
        </w:rPr>
        <w:t xml:space="preserve">Assuming the delisting petition is granted, the Dow Chemical Company will meet the Consent Agreement and Final Order directed by </w:t>
      </w:r>
      <w:r w:rsidR="00AC0977">
        <w:rPr>
          <w:rFonts w:ascii="Palatino" w:hAnsi="Palatino"/>
          <w:sz w:val="20"/>
        </w:rPr>
        <w:t xml:space="preserve">the </w:t>
      </w:r>
      <w:r w:rsidR="008831D9" w:rsidRPr="008831D9">
        <w:rPr>
          <w:rFonts w:ascii="Palatino" w:hAnsi="Palatino"/>
          <w:sz w:val="20"/>
        </w:rPr>
        <w:t xml:space="preserve">EPA. This </w:t>
      </w:r>
      <w:r w:rsidR="00AC0977">
        <w:rPr>
          <w:rFonts w:ascii="Palatino" w:hAnsi="Palatino"/>
          <w:sz w:val="20"/>
        </w:rPr>
        <w:t>change</w:t>
      </w:r>
      <w:r w:rsidR="00AC0977" w:rsidRPr="008831D9">
        <w:rPr>
          <w:rFonts w:ascii="Palatino" w:hAnsi="Palatino"/>
          <w:sz w:val="20"/>
        </w:rPr>
        <w:t xml:space="preserve"> </w:t>
      </w:r>
      <w:r w:rsidR="008831D9" w:rsidRPr="008831D9">
        <w:rPr>
          <w:rFonts w:ascii="Palatino" w:hAnsi="Palatino"/>
          <w:sz w:val="20"/>
        </w:rPr>
        <w:t xml:space="preserve">would produce an economic benefit for the company. The delisting of the </w:t>
      </w:r>
      <w:r w:rsidR="00D675B1" w:rsidRPr="00D675B1">
        <w:rPr>
          <w:rFonts w:ascii="Palatino" w:hAnsi="Palatino"/>
          <w:sz w:val="20"/>
        </w:rPr>
        <w:t>Solvents/EDC Process Wastewater Effluent</w:t>
      </w:r>
      <w:r w:rsidR="00B81DDB">
        <w:rPr>
          <w:rFonts w:ascii="Palatino" w:hAnsi="Palatino"/>
          <w:sz w:val="20"/>
        </w:rPr>
        <w:t xml:space="preserve"> and Solvents/East Ditch sediment</w:t>
      </w:r>
      <w:r w:rsidR="00D675B1" w:rsidRPr="00D675B1">
        <w:rPr>
          <w:rFonts w:ascii="Palatino" w:hAnsi="Palatino"/>
          <w:sz w:val="20"/>
        </w:rPr>
        <w:t xml:space="preserve"> </w:t>
      </w:r>
      <w:r w:rsidR="008831D9" w:rsidRPr="008831D9">
        <w:rPr>
          <w:rFonts w:ascii="Palatino" w:hAnsi="Palatino"/>
          <w:sz w:val="20"/>
        </w:rPr>
        <w:t>will allow the company</w:t>
      </w:r>
      <w:r w:rsidR="00AC0977">
        <w:rPr>
          <w:rFonts w:ascii="Palatino" w:hAnsi="Palatino"/>
          <w:sz w:val="20"/>
        </w:rPr>
        <w:t xml:space="preserve"> </w:t>
      </w:r>
      <w:r w:rsidR="008831D9" w:rsidRPr="008831D9">
        <w:rPr>
          <w:rFonts w:ascii="Palatino" w:hAnsi="Palatino"/>
          <w:sz w:val="20"/>
        </w:rPr>
        <w:t xml:space="preserve">to manage the </w:t>
      </w:r>
      <w:r w:rsidR="00D675B1">
        <w:rPr>
          <w:rFonts w:ascii="Palatino" w:hAnsi="Palatino"/>
          <w:sz w:val="20"/>
        </w:rPr>
        <w:t>effluent</w:t>
      </w:r>
      <w:r w:rsidR="00B81DDB">
        <w:rPr>
          <w:rFonts w:ascii="Palatino" w:hAnsi="Palatino"/>
          <w:sz w:val="20"/>
        </w:rPr>
        <w:t>/sediment</w:t>
      </w:r>
      <w:r w:rsidR="006C7E17">
        <w:rPr>
          <w:rFonts w:ascii="Palatino" w:hAnsi="Palatino"/>
          <w:sz w:val="20"/>
        </w:rPr>
        <w:t xml:space="preserve"> outside of RCRA </w:t>
      </w:r>
      <w:r w:rsidR="008831D9" w:rsidRPr="008831D9">
        <w:rPr>
          <w:rFonts w:ascii="Palatino" w:hAnsi="Palatino"/>
          <w:sz w:val="20"/>
        </w:rPr>
        <w:t xml:space="preserve">disposal standards. The company will not have to remove, haul, and transport the </w:t>
      </w:r>
      <w:r w:rsidR="00C76B96">
        <w:rPr>
          <w:rFonts w:ascii="Palatino" w:hAnsi="Palatino"/>
          <w:sz w:val="20"/>
        </w:rPr>
        <w:t>effluent</w:t>
      </w:r>
      <w:r w:rsidR="00B81DDB">
        <w:rPr>
          <w:rFonts w:ascii="Palatino" w:hAnsi="Palatino"/>
          <w:sz w:val="20"/>
        </w:rPr>
        <w:t>/sediment</w:t>
      </w:r>
      <w:r w:rsidR="008831D9" w:rsidRPr="008831D9">
        <w:rPr>
          <w:rFonts w:ascii="Palatino" w:hAnsi="Palatino"/>
          <w:sz w:val="20"/>
        </w:rPr>
        <w:t xml:space="preserve"> to a hazardous waste </w:t>
      </w:r>
      <w:r w:rsidR="00C76B96">
        <w:rPr>
          <w:rFonts w:ascii="Palatino" w:hAnsi="Palatino"/>
          <w:sz w:val="20"/>
        </w:rPr>
        <w:t>disposal facility</w:t>
      </w:r>
      <w:r w:rsidR="008831D9" w:rsidRPr="008831D9">
        <w:rPr>
          <w:rFonts w:ascii="Palatino" w:hAnsi="Palatino"/>
          <w:sz w:val="20"/>
        </w:rPr>
        <w:t xml:space="preserve">, </w:t>
      </w:r>
      <w:r w:rsidR="00AC0977">
        <w:rPr>
          <w:rFonts w:ascii="Palatino" w:hAnsi="Palatino"/>
          <w:sz w:val="20"/>
        </w:rPr>
        <w:t xml:space="preserve">potentially </w:t>
      </w:r>
      <w:r w:rsidR="008831D9" w:rsidRPr="008831D9">
        <w:rPr>
          <w:rFonts w:ascii="Palatino" w:hAnsi="Palatino"/>
          <w:sz w:val="20"/>
        </w:rPr>
        <w:t>reducing the impact of traffic and stress to the roadways.</w:t>
      </w:r>
    </w:p>
    <w:p w14:paraId="2A550F13" w14:textId="1C300BDB" w:rsidR="00493842" w:rsidRDefault="0049384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A439860" w14:textId="6D10A002" w:rsidR="00493842" w:rsidRDefault="0049384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FDCA646"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1D81AAC" w14:textId="3A8421E9"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7A15B0EC" w14:textId="2D31404D"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57C9978" w14:textId="77777777" w:rsidR="00971B4D" w:rsidRDefault="00971B4D"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557BD15E" w14:textId="1692AB37"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AC0977">
        <w:rPr>
          <w:rFonts w:ascii="Palatino" w:hAnsi="Palatino"/>
          <w:sz w:val="20"/>
        </w:rPr>
        <w:t>The proposed rule change will have negligible effects on competition and employment.</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13BF0C6A" w:rsidR="005B49F9" w:rsidRDefault="005B49F9"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0EE7247C" w:rsidR="00287A7E" w:rsidRDefault="00EF04CB"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Courtney J. Burdette, Executive Counsel</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917BC1D" w14:textId="234BF129" w:rsidR="00344543" w:rsidRDefault="008C4A02" w:rsidP="000F2035">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r>
        <w:rPr>
          <w:rFonts w:ascii="Palatino" w:hAnsi="Palatino"/>
          <w:sz w:val="20"/>
        </w:rPr>
        <w:br/>
      </w:r>
      <w:r w:rsidR="000F2035" w:rsidRPr="000F2035">
        <w:rPr>
          <w:rFonts w:ascii="Palatino" w:hAnsi="Palatino"/>
          <w:sz w:val="20"/>
        </w:rPr>
        <w:t xml:space="preserve">The Dow Chemical Company is requesting a one-time petition to exclude (delist) from the hazardous waste regulations the Solvents/EDC Process Wastewater Effluent </w:t>
      </w:r>
      <w:r w:rsidR="00B81DDB">
        <w:rPr>
          <w:rFonts w:ascii="Palatino" w:hAnsi="Palatino"/>
          <w:sz w:val="20"/>
        </w:rPr>
        <w:t xml:space="preserve">and Solvents/East Ditch sediment </w:t>
      </w:r>
      <w:r w:rsidR="000F2035" w:rsidRPr="000F2035">
        <w:rPr>
          <w:rFonts w:ascii="Palatino" w:hAnsi="Palatino"/>
          <w:sz w:val="20"/>
        </w:rPr>
        <w:t>that is a generated from an air pollution control system (wet scrubbing) that treats combustion gas produced from F-700 TTU, which burns chlorinated organic wastes carrying EPA listed Hazardous Waste. The delisting was requested to meet compliance with the (CAFO) directed by EPA. This delisting applies particularly to the Solvents East Ditch Sediment. There will be no costs or savings to state or local governmental units for</w:t>
      </w:r>
      <w:r w:rsidR="00B81DDB">
        <w:rPr>
          <w:rFonts w:ascii="Palatino" w:hAnsi="Palatino"/>
          <w:sz w:val="20"/>
        </w:rPr>
        <w:t xml:space="preserve"> </w:t>
      </w:r>
      <w:r w:rsidR="000F2035" w:rsidRPr="000F2035">
        <w:rPr>
          <w:rFonts w:ascii="Palatino" w:hAnsi="Palatino"/>
          <w:sz w:val="20"/>
        </w:rPr>
        <w:t>implementing this rule.</w:t>
      </w:r>
    </w:p>
    <w:p w14:paraId="15B4FB00" w14:textId="661A46B7" w:rsidR="008C4A02" w:rsidRPr="008C4A02" w:rsidRDefault="000F2035" w:rsidP="001550E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Pr>
          <w:rFonts w:ascii="Palatino" w:hAnsi="Palatino"/>
          <w:sz w:val="20"/>
        </w:rPr>
        <w:br/>
      </w:r>
      <w:r>
        <w:rPr>
          <w:rFonts w:ascii="Palatino" w:hAnsi="Palatino"/>
          <w:sz w:val="20"/>
        </w:rPr>
        <w:br/>
      </w:r>
    </w:p>
    <w:p w14:paraId="25C03AE4" w14:textId="336F83A4" w:rsidR="00344543" w:rsidRDefault="008C4A02" w:rsidP="000F2035">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r w:rsidR="000F2035" w:rsidRPr="000F2035">
        <w:rPr>
          <w:rFonts w:ascii="Palatino" w:hAnsi="Palatino"/>
          <w:sz w:val="20"/>
        </w:rPr>
        <w:t>LAC 33:V.105.M allows a hazardous waste generator to petition to the department for this kind of rulemaking when a listed hazardous waste does not meet an</w:t>
      </w:r>
      <w:r w:rsidR="00344543">
        <w:rPr>
          <w:rFonts w:ascii="Palatino" w:hAnsi="Palatino"/>
          <w:sz w:val="20"/>
        </w:rPr>
        <w:t>y</w:t>
      </w:r>
      <w:r w:rsidR="000F2035" w:rsidRPr="000F2035">
        <w:rPr>
          <w:rFonts w:ascii="Palatino" w:hAnsi="Palatino"/>
          <w:sz w:val="20"/>
        </w:rPr>
        <w:t xml:space="preserve"> of the criteria that cause the material to </w:t>
      </w:r>
      <w:proofErr w:type="gramStart"/>
      <w:r w:rsidR="000F2035" w:rsidRPr="000F2035">
        <w:rPr>
          <w:rFonts w:ascii="Palatino" w:hAnsi="Palatino"/>
          <w:sz w:val="20"/>
        </w:rPr>
        <w:t>be classified</w:t>
      </w:r>
      <w:proofErr w:type="gramEnd"/>
      <w:r w:rsidR="000F2035" w:rsidRPr="000F2035">
        <w:rPr>
          <w:rFonts w:ascii="Palatino" w:hAnsi="Palatino"/>
          <w:sz w:val="20"/>
        </w:rPr>
        <w:t xml:space="preserve"> as a hazardous waste. Based on extensive testing, the department has determined that the nature of this material does not warrant retaining this material as a hazardous waste.</w:t>
      </w:r>
    </w:p>
    <w:p w14:paraId="28FEAD54" w14:textId="581A0AEF" w:rsidR="008C4A02" w:rsidRPr="008C4A02" w:rsidRDefault="008C4A02" w:rsidP="001550E8">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1C080D">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4A091A31" w14:textId="7EC289F9" w:rsidR="00344543" w:rsidRPr="000F2035" w:rsidRDefault="000F2035" w:rsidP="00344543">
      <w:pPr>
        <w:ind w:left="420" w:firstLine="720"/>
        <w:rPr>
          <w:rFonts w:ascii="Palatino" w:eastAsia="Times New Roman" w:hAnsi="Palatino" w:cs="Times New Roman"/>
          <w:color w:val="000000"/>
          <w:sz w:val="20"/>
          <w:szCs w:val="20"/>
        </w:rPr>
      </w:pPr>
      <w:r w:rsidRPr="000F2035">
        <w:rPr>
          <w:rFonts w:ascii="Palatino" w:eastAsia="Times New Roman" w:hAnsi="Palatino" w:cs="Times New Roman"/>
          <w:color w:val="000000"/>
          <w:sz w:val="20"/>
          <w:szCs w:val="20"/>
        </w:rPr>
        <w:t>No, the proposed rule will not result in any increase in the expenditure of funds.</w:t>
      </w:r>
    </w:p>
    <w:p w14:paraId="11D1C1CC"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05F3A7C8" w:rsidR="00D26A97" w:rsidRDefault="00D26A97" w:rsidP="000F2035">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26A97" w:rsidSect="001C080D">
          <w:type w:val="continuous"/>
          <w:pgSz w:w="12240" w:h="15840" w:code="1"/>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F343D2" w14:textId="0F7D6F70"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A28CC3E" w14:textId="6A304079"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5826514D" w14:textId="5109CDAA"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023D2AC" w14:textId="7955B0C6"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76BA725" w14:textId="27F83167"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78BF2AA" w14:textId="4EE95114"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A04028F" w14:textId="77777777" w:rsidR="007E34EE" w:rsidRPr="00DC0C63" w:rsidRDefault="007E34EE"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557DF9AC" w14:textId="77777777"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sz w:val="20"/>
        </w:rPr>
      </w:pPr>
    </w:p>
    <w:p w14:paraId="76E742B1" w14:textId="77777777" w:rsidR="000F2035" w:rsidRDefault="000F2035">
      <w:pPr>
        <w:rPr>
          <w:rFonts w:ascii="Palatino" w:eastAsia="Times New Roman" w:hAnsi="Palatino" w:cs="Times New Roman"/>
          <w:b/>
          <w:color w:val="000000"/>
          <w:sz w:val="20"/>
          <w:szCs w:val="20"/>
        </w:rPr>
      </w:pPr>
      <w:r>
        <w:rPr>
          <w:rFonts w:ascii="Palatino" w:hAnsi="Palatino"/>
          <w:b/>
          <w:sz w:val="20"/>
        </w:rPr>
        <w:br w:type="page"/>
      </w:r>
    </w:p>
    <w:p w14:paraId="051C7873" w14:textId="6F78587A"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lastRenderedPageBreak/>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0C38DD1"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3C8249A0" w14:textId="0268D9D4"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D4F4ABA" w14:textId="49DD929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3E6C2277" w14:textId="77777777" w:rsidR="000F2035" w:rsidRDefault="008C4A02" w:rsidP="008C4A02">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p>
    <w:p w14:paraId="0D7C6D31" w14:textId="22AE32F7" w:rsidR="008C4A02" w:rsidRPr="008C4A02" w:rsidRDefault="008C4A02" w:rsidP="000F2035">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0F2035" w:rsidRPr="000F2035">
        <w:rPr>
          <w:rFonts w:ascii="Palatino" w:hAnsi="Palatino"/>
          <w:sz w:val="20"/>
        </w:rPr>
        <w:t>There are no costs or savings to state agencies associated with the implementation of this rule.</w:t>
      </w:r>
      <w:r w:rsidR="000F2035">
        <w:rPr>
          <w:rFonts w:ascii="Palatino" w:hAnsi="Palatino"/>
          <w:sz w:val="20"/>
        </w:rPr>
        <w:br/>
      </w:r>
      <w:r w:rsidR="000F2035">
        <w:rPr>
          <w:rFonts w:ascii="Palatino" w:hAnsi="Palatino"/>
          <w:sz w:val="20"/>
        </w:rPr>
        <w:br/>
      </w:r>
      <w:r>
        <w:rPr>
          <w:rFonts w:ascii="Palatino" w:hAnsi="Palatino"/>
          <w:sz w:val="20"/>
        </w:rPr>
        <w:br/>
      </w:r>
      <w:r>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3200F3E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166564AD" w14:textId="45D9BC75"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4AD3FE10" w14:textId="5225A683"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B6452CB" w14:textId="77777777" w:rsidR="000F2035"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p>
    <w:p w14:paraId="3FD859D5" w14:textId="77777777" w:rsidR="00344543" w:rsidRDefault="008C4A02"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0F2035" w:rsidRPr="000F2035">
        <w:rPr>
          <w:rFonts w:ascii="Palatino" w:hAnsi="Palatino"/>
          <w:sz w:val="20"/>
        </w:rPr>
        <w:t>No funds are needed to implement this rule.</w:t>
      </w:r>
    </w:p>
    <w:p w14:paraId="752F83F7" w14:textId="10E22829" w:rsidR="008C4A02" w:rsidRPr="008C4A02" w:rsidRDefault="008C4A02"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4D6FA" w14:textId="77777777" w:rsidR="000F2035"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lastRenderedPageBreak/>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p>
    <w:p w14:paraId="310CF190" w14:textId="28FD826F" w:rsidR="00344543" w:rsidRDefault="008C4A02"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0F2035" w:rsidRPr="000F2035">
        <w:rPr>
          <w:rFonts w:ascii="Palatino" w:hAnsi="Palatino"/>
          <w:sz w:val="20"/>
        </w:rPr>
        <w:t xml:space="preserve">There </w:t>
      </w:r>
      <w:r w:rsidR="00AC0977">
        <w:rPr>
          <w:rFonts w:ascii="Palatino" w:hAnsi="Palatino"/>
          <w:sz w:val="20"/>
        </w:rPr>
        <w:t>are</w:t>
      </w:r>
      <w:r w:rsidR="000F2035" w:rsidRPr="000F2035">
        <w:rPr>
          <w:rFonts w:ascii="Palatino" w:hAnsi="Palatino"/>
          <w:sz w:val="20"/>
        </w:rPr>
        <w:t xml:space="preserve"> no anticipated </w:t>
      </w:r>
      <w:r w:rsidR="00AC0977">
        <w:rPr>
          <w:rFonts w:ascii="Palatino" w:hAnsi="Palatino"/>
          <w:sz w:val="20"/>
        </w:rPr>
        <w:t xml:space="preserve">costs or savings resulting from </w:t>
      </w:r>
      <w:r w:rsidR="000F2035" w:rsidRPr="000F2035">
        <w:rPr>
          <w:rFonts w:ascii="Palatino" w:hAnsi="Palatino"/>
          <w:sz w:val="20"/>
        </w:rPr>
        <w:t xml:space="preserve">the proposed </w:t>
      </w:r>
      <w:r w:rsidR="00AC0977">
        <w:rPr>
          <w:rFonts w:ascii="Palatino" w:hAnsi="Palatino"/>
          <w:sz w:val="20"/>
        </w:rPr>
        <w:t>change to</w:t>
      </w:r>
      <w:r w:rsidR="000F2035" w:rsidRPr="000F2035">
        <w:rPr>
          <w:rFonts w:ascii="Palatino" w:hAnsi="Palatino"/>
          <w:sz w:val="20"/>
        </w:rPr>
        <w:t xml:space="preserve"> local governmental units.</w:t>
      </w:r>
    </w:p>
    <w:p w14:paraId="61D31496" w14:textId="77777777" w:rsidR="00AC0977" w:rsidRDefault="00AC0977"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E65CE9A" w14:textId="558A2DD4" w:rsidR="008C4A02" w:rsidRDefault="000F2035"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p>
    <w:p w14:paraId="7777F603" w14:textId="77777777" w:rsidR="000F2035" w:rsidRPr="008C4A02" w:rsidRDefault="000F2035"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49C7D567" w14:textId="77777777" w:rsidR="000F2035"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p>
    <w:p w14:paraId="66EA734D" w14:textId="2081AB00" w:rsidR="00344543" w:rsidRDefault="008C4A02"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344543">
        <w:rPr>
          <w:rFonts w:ascii="Palatino" w:hAnsi="Palatino"/>
          <w:sz w:val="20"/>
        </w:rPr>
        <w:t>Not applicable</w:t>
      </w:r>
      <w:r w:rsidR="00AC0977">
        <w:rPr>
          <w:rFonts w:ascii="Palatino" w:hAnsi="Palatino"/>
          <w:sz w:val="20"/>
        </w:rPr>
        <w:t>.</w:t>
      </w:r>
    </w:p>
    <w:p w14:paraId="38BEA732" w14:textId="7CB5D648" w:rsidR="00D7095D" w:rsidRDefault="008C4A02" w:rsidP="000F2035">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Pr>
          <w:rFonts w:ascii="Palatino" w:hAnsi="Palatino"/>
          <w:sz w:val="20"/>
        </w:rPr>
        <w:br/>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AD241B8"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5C998D4A" w14:textId="0C8DC072" w:rsidR="00804B16" w:rsidRDefault="00804B16"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0625C669" w14:textId="77777777" w:rsidR="00344543" w:rsidRDefault="008C4A02"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Pr>
          <w:rFonts w:ascii="Palatino" w:hAnsi="Palatino"/>
          <w:sz w:val="20"/>
        </w:rPr>
        <w:br/>
      </w:r>
    </w:p>
    <w:p w14:paraId="4FFB1831" w14:textId="77777777" w:rsidR="00344543" w:rsidRDefault="0034454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777A4547" w14:textId="77777777" w:rsidR="00344543" w:rsidRDefault="0034454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43CCBE7E" w14:textId="77777777" w:rsidR="00344543" w:rsidRDefault="0034454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0B0EB5CA" w14:textId="77777777" w:rsidR="00344543" w:rsidRDefault="0034454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327862A9" w14:textId="77777777" w:rsidR="00344543" w:rsidRDefault="0034454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76A02806" w14:textId="26980EB1"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6F405C00"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4</w:t>
            </w:r>
          </w:p>
        </w:tc>
        <w:tc>
          <w:tcPr>
            <w:tcW w:w="1089" w:type="pct"/>
            <w:tcBorders>
              <w:top w:val="single" w:sz="4" w:space="0" w:color="auto"/>
              <w:bottom w:val="single" w:sz="4" w:space="0" w:color="auto"/>
            </w:tcBorders>
            <w:vAlign w:val="center"/>
          </w:tcPr>
          <w:p w14:paraId="74118CDA" w14:textId="5998EE3B"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055885F" w14:textId="004BF479"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D7095D">
              <w:rPr>
                <w:rFonts w:ascii="Palatino" w:hAnsi="Palatino" w:cs="Arial"/>
                <w:b/>
                <w:bCs/>
                <w:sz w:val="20"/>
                <w:szCs w:val="20"/>
              </w:rPr>
              <w:t>6</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9030A30" w14:textId="77777777" w:rsidR="000F2035"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Provide a narrative explanation of each increase or decrease in revenues shown in "A."  Describe all data, assumptions, and methods used in calculating these increases or decreases.</w:t>
      </w:r>
      <w:r>
        <w:rPr>
          <w:rFonts w:ascii="Palatino" w:hAnsi="Palatino"/>
          <w:sz w:val="20"/>
        </w:rPr>
        <w:tab/>
      </w:r>
    </w:p>
    <w:p w14:paraId="5D971911" w14:textId="2B83F425" w:rsidR="00344543" w:rsidRDefault="00344543" w:rsidP="000F2035">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3DC299BB" w14:textId="00129045" w:rsidR="00344543" w:rsidRDefault="00344543" w:rsidP="0034454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t>Not applicable</w:t>
      </w:r>
    </w:p>
    <w:p w14:paraId="61E92CBA" w14:textId="79395B47" w:rsidR="00E12B63" w:rsidRPr="00DC0C63" w:rsidRDefault="00E12B63" w:rsidP="0034454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Pr>
          <w:rFonts w:ascii="Palatino" w:hAnsi="Palatino"/>
          <w:sz w:val="20"/>
        </w:rPr>
        <w:br/>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78B2B9E5" w14:textId="286F98FF" w:rsidR="00344543" w:rsidRDefault="00E12B63" w:rsidP="00344543">
      <w:pPr>
        <w:pStyle w:val="WPNormal"/>
        <w:numPr>
          <w:ilvl w:val="0"/>
          <w:numId w:val="10"/>
        </w:numPr>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r>
        <w:rPr>
          <w:rFonts w:ascii="Palatino" w:hAnsi="Palatino"/>
          <w:sz w:val="20"/>
        </w:rPr>
        <w:br/>
      </w:r>
      <w:r w:rsidR="000F2035" w:rsidRPr="000F2035">
        <w:rPr>
          <w:rFonts w:ascii="Palatino" w:hAnsi="Palatino"/>
          <w:sz w:val="20"/>
        </w:rPr>
        <w:t>The Dow Chemical Company benefits from the delisting of the Solvents/EDC Process Wastewater Effluent</w:t>
      </w:r>
      <w:r w:rsidR="00B81DDB">
        <w:rPr>
          <w:rFonts w:ascii="Palatino" w:hAnsi="Palatino"/>
          <w:sz w:val="20"/>
        </w:rPr>
        <w:t xml:space="preserve"> and Solvents/East Ditch sediment</w:t>
      </w:r>
      <w:r w:rsidR="000F2035" w:rsidRPr="000F2035">
        <w:rPr>
          <w:rFonts w:ascii="Palatino" w:hAnsi="Palatino"/>
          <w:sz w:val="20"/>
        </w:rPr>
        <w:t xml:space="preserve">. The delisting will not relieve the company from any liability for these wastes under federal or state law. This </w:t>
      </w:r>
      <w:r w:rsidR="00AC0977">
        <w:rPr>
          <w:rFonts w:ascii="Palatino" w:hAnsi="Palatino"/>
          <w:sz w:val="20"/>
        </w:rPr>
        <w:t xml:space="preserve">change </w:t>
      </w:r>
      <w:r w:rsidR="000F2035" w:rsidRPr="000F2035">
        <w:rPr>
          <w:rFonts w:ascii="Palatino" w:hAnsi="Palatino"/>
          <w:sz w:val="20"/>
        </w:rPr>
        <w:t xml:space="preserve">would produce an economic benefit for the facility. The delisting of the Solvents East Ditch sediment will allow the facility to not have to manage the sediment according to RCRA disposal standards. If the delisting is approved, the facility does not have to remove, haul, and transport the sediment to a hazardous waste landfill, </w:t>
      </w:r>
      <w:r w:rsidR="00AC0977">
        <w:rPr>
          <w:rFonts w:ascii="Palatino" w:hAnsi="Palatino"/>
          <w:sz w:val="20"/>
        </w:rPr>
        <w:t xml:space="preserve">potentially </w:t>
      </w:r>
      <w:r w:rsidR="000F2035" w:rsidRPr="000F2035">
        <w:rPr>
          <w:rFonts w:ascii="Palatino" w:hAnsi="Palatino"/>
          <w:sz w:val="20"/>
        </w:rPr>
        <w:t>reducing the impact of traffic and stress to the roadways.</w:t>
      </w:r>
    </w:p>
    <w:p w14:paraId="6F48000E" w14:textId="5C4D3F2F" w:rsidR="00E12B63" w:rsidRPr="00DC0C63" w:rsidRDefault="00E12B63" w:rsidP="0034454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r>
        <w:rPr>
          <w:rFonts w:ascii="Palatino" w:hAnsi="Palatino"/>
          <w:sz w:val="20"/>
        </w:rPr>
        <w:br/>
      </w:r>
    </w:p>
    <w:p w14:paraId="70E7DD12" w14:textId="1A7DD208" w:rsidR="00344543" w:rsidRDefault="00E12B63" w:rsidP="000F2035">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Also provide an estimate and a narrative description of any impact on receipts and/or income resulting from this rule or rule change to these groups.</w:t>
      </w:r>
      <w:r>
        <w:rPr>
          <w:rFonts w:ascii="Palatino" w:hAnsi="Palatino"/>
          <w:sz w:val="20"/>
        </w:rPr>
        <w:tab/>
      </w:r>
      <w:r>
        <w:rPr>
          <w:rFonts w:ascii="Palatino" w:hAnsi="Palatino"/>
          <w:sz w:val="20"/>
        </w:rPr>
        <w:br/>
      </w:r>
      <w:r>
        <w:rPr>
          <w:rFonts w:ascii="Palatino" w:hAnsi="Palatino"/>
          <w:sz w:val="20"/>
        </w:rPr>
        <w:br/>
      </w:r>
      <w:r w:rsidR="000F2035" w:rsidRPr="000F2035">
        <w:rPr>
          <w:rFonts w:ascii="Palatino" w:hAnsi="Palatino"/>
          <w:sz w:val="20"/>
        </w:rPr>
        <w:t xml:space="preserve">The Dow Chemical Company will save a substantial amount of money </w:t>
      </w:r>
      <w:r w:rsidR="00AC0977">
        <w:rPr>
          <w:rFonts w:ascii="Palatino" w:hAnsi="Palatino"/>
          <w:sz w:val="20"/>
        </w:rPr>
        <w:t>if</w:t>
      </w:r>
      <w:r w:rsidR="00AC0977" w:rsidRPr="000F2035">
        <w:rPr>
          <w:rFonts w:ascii="Palatino" w:hAnsi="Palatino"/>
          <w:sz w:val="20"/>
        </w:rPr>
        <w:t xml:space="preserve"> </w:t>
      </w:r>
      <w:r w:rsidR="000F2035" w:rsidRPr="000F2035">
        <w:rPr>
          <w:rFonts w:ascii="Palatino" w:hAnsi="Palatino"/>
          <w:sz w:val="20"/>
        </w:rPr>
        <w:t xml:space="preserve">this delisting </w:t>
      </w:r>
      <w:proofErr w:type="gramStart"/>
      <w:r w:rsidR="000F2035" w:rsidRPr="000F2035">
        <w:rPr>
          <w:rFonts w:ascii="Palatino" w:hAnsi="Palatino"/>
          <w:sz w:val="20"/>
        </w:rPr>
        <w:t>is approved</w:t>
      </w:r>
      <w:proofErr w:type="gramEnd"/>
      <w:r w:rsidR="000F2035" w:rsidRPr="000F2035">
        <w:rPr>
          <w:rFonts w:ascii="Palatino" w:hAnsi="Palatino"/>
          <w:sz w:val="20"/>
        </w:rPr>
        <w:t>. The delisting of the Solvents/EDC Process Wastewater Effluent</w:t>
      </w:r>
      <w:r w:rsidR="00B81DDB">
        <w:rPr>
          <w:rFonts w:ascii="Palatino" w:hAnsi="Palatino"/>
          <w:sz w:val="20"/>
        </w:rPr>
        <w:t xml:space="preserve"> and Solvents/East Ditch sediment</w:t>
      </w:r>
      <w:r w:rsidR="000F2035" w:rsidRPr="000F2035">
        <w:rPr>
          <w:rFonts w:ascii="Palatino" w:hAnsi="Palatino"/>
          <w:sz w:val="20"/>
        </w:rPr>
        <w:t xml:space="preserve"> will allow the facility to not have to manage the sediment according to RCRA disposal</w:t>
      </w:r>
      <w:r w:rsidR="00B81DDB">
        <w:rPr>
          <w:rFonts w:ascii="Palatino" w:hAnsi="Palatino"/>
          <w:sz w:val="20"/>
        </w:rPr>
        <w:t xml:space="preserve"> </w:t>
      </w:r>
      <w:r w:rsidR="000F2035" w:rsidRPr="000F2035">
        <w:rPr>
          <w:rFonts w:ascii="Palatino" w:hAnsi="Palatino"/>
          <w:sz w:val="20"/>
        </w:rPr>
        <w:t>standards.</w:t>
      </w:r>
    </w:p>
    <w:p w14:paraId="38371BE9" w14:textId="67EF3C38" w:rsidR="00E12B63" w:rsidRPr="00DC0C63" w:rsidRDefault="00E12B63" w:rsidP="00344543">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br/>
      </w:r>
      <w:r>
        <w:rPr>
          <w:rFonts w:ascii="Palatino" w:hAnsi="Palatino"/>
          <w:sz w:val="20"/>
        </w:rPr>
        <w:br/>
      </w: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6FAFFAB0" w14:textId="77777777" w:rsidR="00344543" w:rsidRDefault="00E12B63" w:rsidP="00344543">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0F2035" w:rsidRPr="000F2035">
        <w:rPr>
          <w:rFonts w:ascii="Palatino" w:hAnsi="Palatino"/>
          <w:sz w:val="20"/>
        </w:rPr>
        <w:t>The</w:t>
      </w:r>
      <w:r w:rsidR="00344543">
        <w:rPr>
          <w:rFonts w:ascii="Palatino" w:hAnsi="Palatino"/>
          <w:sz w:val="20"/>
        </w:rPr>
        <w:t xml:space="preserve"> </w:t>
      </w:r>
      <w:r w:rsidR="000F2035" w:rsidRPr="000F2035">
        <w:rPr>
          <w:rFonts w:ascii="Palatino" w:hAnsi="Palatino"/>
          <w:sz w:val="20"/>
        </w:rPr>
        <w:t>effects on competition are negligible.</w:t>
      </w:r>
    </w:p>
    <w:p w14:paraId="2A5E16DF" w14:textId="5FE61CD7" w:rsidR="00E12B63" w:rsidRPr="004F6187" w:rsidRDefault="000F2035" w:rsidP="00344543">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sectPr w:rsidR="00E12B63" w:rsidRPr="004F6187" w:rsidSect="001C080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FDF14" w14:textId="77777777" w:rsidR="00C15B21" w:rsidRDefault="00C15B21" w:rsidP="008C4A02">
      <w:r>
        <w:separator/>
      </w:r>
    </w:p>
  </w:endnote>
  <w:endnote w:type="continuationSeparator" w:id="0">
    <w:p w14:paraId="3EC2B1AF" w14:textId="77777777" w:rsidR="00C15B21" w:rsidRDefault="00C15B21"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7F82E5CB"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3794" w14:textId="77777777" w:rsidR="00C15B21" w:rsidRDefault="00C15B21" w:rsidP="008C4A02">
      <w:r>
        <w:separator/>
      </w:r>
    </w:p>
  </w:footnote>
  <w:footnote w:type="continuationSeparator" w:id="0">
    <w:p w14:paraId="1F7E1E26" w14:textId="77777777" w:rsidR="00C15B21" w:rsidRDefault="00C15B21"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4533C13"/>
    <w:multiLevelType w:val="hybridMultilevel"/>
    <w:tmpl w:val="27484132"/>
    <w:lvl w:ilvl="0" w:tplc="70F025D8">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0"/>
  </w:num>
  <w:num w:numId="4">
    <w:abstractNumId w:val="7"/>
  </w:num>
  <w:num w:numId="5">
    <w:abstractNumId w:val="2"/>
  </w:num>
  <w:num w:numId="6">
    <w:abstractNumId w:val="4"/>
  </w:num>
  <w:num w:numId="7">
    <w:abstractNumId w:val="5"/>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0F2035"/>
    <w:rsid w:val="001340EB"/>
    <w:rsid w:val="001550E8"/>
    <w:rsid w:val="001649FC"/>
    <w:rsid w:val="001C080D"/>
    <w:rsid w:val="00287A7E"/>
    <w:rsid w:val="0031758E"/>
    <w:rsid w:val="00344543"/>
    <w:rsid w:val="003455EA"/>
    <w:rsid w:val="003A055B"/>
    <w:rsid w:val="00403F85"/>
    <w:rsid w:val="0041055E"/>
    <w:rsid w:val="004815F6"/>
    <w:rsid w:val="00493842"/>
    <w:rsid w:val="004F6187"/>
    <w:rsid w:val="005315BF"/>
    <w:rsid w:val="005B49F9"/>
    <w:rsid w:val="005F2D35"/>
    <w:rsid w:val="00625025"/>
    <w:rsid w:val="00625862"/>
    <w:rsid w:val="006321B7"/>
    <w:rsid w:val="00680EAE"/>
    <w:rsid w:val="0068124F"/>
    <w:rsid w:val="006C1C27"/>
    <w:rsid w:val="006C7E17"/>
    <w:rsid w:val="007E34EE"/>
    <w:rsid w:val="00804B16"/>
    <w:rsid w:val="00825FE1"/>
    <w:rsid w:val="008831D9"/>
    <w:rsid w:val="008B6D06"/>
    <w:rsid w:val="008C4A02"/>
    <w:rsid w:val="00955A63"/>
    <w:rsid w:val="00971B4D"/>
    <w:rsid w:val="009F6411"/>
    <w:rsid w:val="00AC0977"/>
    <w:rsid w:val="00AD58F2"/>
    <w:rsid w:val="00B160E2"/>
    <w:rsid w:val="00B543EE"/>
    <w:rsid w:val="00B81DDB"/>
    <w:rsid w:val="00BC0869"/>
    <w:rsid w:val="00C0768E"/>
    <w:rsid w:val="00C10B50"/>
    <w:rsid w:val="00C15B21"/>
    <w:rsid w:val="00C22C62"/>
    <w:rsid w:val="00C46FDC"/>
    <w:rsid w:val="00C76B96"/>
    <w:rsid w:val="00D00769"/>
    <w:rsid w:val="00D26A97"/>
    <w:rsid w:val="00D42DCA"/>
    <w:rsid w:val="00D675B1"/>
    <w:rsid w:val="00D7095D"/>
    <w:rsid w:val="00DA11BA"/>
    <w:rsid w:val="00DA2CA6"/>
    <w:rsid w:val="00DA4AED"/>
    <w:rsid w:val="00DB1958"/>
    <w:rsid w:val="00E12B63"/>
    <w:rsid w:val="00E64426"/>
    <w:rsid w:val="00EA6A66"/>
    <w:rsid w:val="00EF04CB"/>
    <w:rsid w:val="00F1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344543"/>
  </w:style>
  <w:style w:type="paragraph" w:styleId="BalloonText">
    <w:name w:val="Balloon Text"/>
    <w:basedOn w:val="Normal"/>
    <w:link w:val="BalloonTextChar"/>
    <w:uiPriority w:val="99"/>
    <w:semiHidden/>
    <w:unhideWhenUsed/>
    <w:rsid w:val="00BC0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DC56-B246-41D0-865F-8B06DD4F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2023-12-29T19:06:00Z</cp:lastPrinted>
  <dcterms:created xsi:type="dcterms:W3CDTF">2024-01-09T13:25:00Z</dcterms:created>
  <dcterms:modified xsi:type="dcterms:W3CDTF">2024-01-09T13:25:00Z</dcterms:modified>
</cp:coreProperties>
</file>