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B3C73" w14:textId="77777777" w:rsidR="007F6940" w:rsidRPr="007F6940" w:rsidRDefault="007F6940" w:rsidP="007F6940">
      <w:pPr>
        <w:spacing w:after="160"/>
        <w:contextualSpacing/>
        <w:jc w:val="center"/>
        <w:rPr>
          <w:rFonts w:ascii="Times New Roman" w:eastAsia="Calibri" w:hAnsi="Times New Roman" w:cs="Times New Roman"/>
          <w:b/>
        </w:rPr>
      </w:pPr>
      <w:r w:rsidRPr="007F6940">
        <w:rPr>
          <w:rFonts w:ascii="Times New Roman" w:eastAsia="Calibri" w:hAnsi="Times New Roman" w:cs="Times New Roman"/>
          <w:b/>
        </w:rPr>
        <w:t>Title 33</w:t>
      </w:r>
    </w:p>
    <w:p w14:paraId="325AB629" w14:textId="77777777" w:rsidR="007F6940" w:rsidRPr="007F6940" w:rsidRDefault="007F6940" w:rsidP="007F6940">
      <w:pPr>
        <w:spacing w:after="160"/>
        <w:contextualSpacing/>
        <w:jc w:val="center"/>
        <w:rPr>
          <w:rFonts w:ascii="Times New Roman" w:eastAsia="Calibri" w:hAnsi="Times New Roman" w:cs="Times New Roman"/>
          <w:b/>
        </w:rPr>
      </w:pPr>
      <w:r w:rsidRPr="007F6940">
        <w:rPr>
          <w:rFonts w:ascii="Times New Roman" w:eastAsia="Calibri" w:hAnsi="Times New Roman" w:cs="Times New Roman"/>
          <w:b/>
        </w:rPr>
        <w:t>ENVIRONMENTAL QUALITY</w:t>
      </w:r>
      <w:r w:rsidRPr="007F6940">
        <w:rPr>
          <w:rFonts w:ascii="Times New Roman" w:eastAsia="Calibri" w:hAnsi="Times New Roman" w:cs="Times New Roman"/>
          <w:b/>
        </w:rPr>
        <w:tab/>
      </w:r>
    </w:p>
    <w:p w14:paraId="5D0B0714" w14:textId="77777777" w:rsidR="007F6940" w:rsidRPr="007F6940" w:rsidRDefault="007F6940" w:rsidP="007F6940">
      <w:pPr>
        <w:spacing w:after="160" w:line="480" w:lineRule="auto"/>
        <w:contextualSpacing/>
        <w:jc w:val="center"/>
        <w:rPr>
          <w:rFonts w:ascii="Times New Roman" w:eastAsia="Calibri" w:hAnsi="Times New Roman" w:cs="Times New Roman"/>
          <w:b/>
        </w:rPr>
      </w:pPr>
      <w:r w:rsidRPr="007F6940">
        <w:rPr>
          <w:rFonts w:ascii="Times New Roman" w:eastAsia="Calibri" w:hAnsi="Times New Roman" w:cs="Times New Roman"/>
          <w:b/>
        </w:rPr>
        <w:t>Part III.  Air</w:t>
      </w:r>
    </w:p>
    <w:p w14:paraId="0B1B6F59" w14:textId="77777777" w:rsidR="007F6940" w:rsidRPr="007F6940" w:rsidRDefault="007F6940" w:rsidP="007F6940">
      <w:pPr>
        <w:spacing w:line="480" w:lineRule="auto"/>
        <w:rPr>
          <w:rFonts w:ascii="Times New Roman" w:eastAsia="Calibri" w:hAnsi="Times New Roman" w:cs="Times New Roman"/>
        </w:rPr>
      </w:pPr>
      <w:r w:rsidRPr="007F6940">
        <w:rPr>
          <w:rFonts w:ascii="Times New Roman" w:eastAsia="Calibri" w:hAnsi="Times New Roman" w:cs="Times New Roman"/>
          <w:b/>
        </w:rPr>
        <w:t>Chapter 5.</w:t>
      </w:r>
      <w:r w:rsidRPr="007F6940">
        <w:rPr>
          <w:rFonts w:ascii="Times New Roman" w:eastAsia="Calibri" w:hAnsi="Times New Roman" w:cs="Times New Roman"/>
          <w:b/>
        </w:rPr>
        <w:tab/>
        <w:t>Permit Procedures</w:t>
      </w:r>
    </w:p>
    <w:p w14:paraId="368B5E15" w14:textId="77777777" w:rsidR="007F6940" w:rsidRPr="007F6940" w:rsidRDefault="007F6940" w:rsidP="007F6940">
      <w:pPr>
        <w:tabs>
          <w:tab w:val="left" w:pos="720"/>
        </w:tabs>
        <w:spacing w:line="480" w:lineRule="auto"/>
        <w:rPr>
          <w:rFonts w:ascii="Times New Roman" w:eastAsia="Calibri" w:hAnsi="Times New Roman" w:cs="Times New Roman"/>
          <w:b/>
        </w:rPr>
      </w:pPr>
      <w:r w:rsidRPr="007F6940">
        <w:rPr>
          <w:rFonts w:ascii="Times New Roman" w:eastAsia="Calibri" w:hAnsi="Times New Roman" w:cs="Times New Roman"/>
          <w:b/>
        </w:rPr>
        <w:t>§535.</w:t>
      </w:r>
      <w:r w:rsidRPr="007F6940">
        <w:rPr>
          <w:rFonts w:ascii="Times New Roman" w:eastAsia="Calibri" w:hAnsi="Times New Roman" w:cs="Times New Roman"/>
          <w:b/>
        </w:rPr>
        <w:tab/>
        <w:t>Part 70 General Conditions</w:t>
      </w:r>
    </w:p>
    <w:p w14:paraId="1BA520AD"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b/>
        </w:rPr>
        <w:tab/>
      </w:r>
      <w:proofErr w:type="gramStart"/>
      <w:r w:rsidRPr="007F6940">
        <w:rPr>
          <w:rFonts w:ascii="Times New Roman" w:eastAsia="Calibri" w:hAnsi="Times New Roman" w:cs="Times New Roman"/>
        </w:rPr>
        <w:t>A.</w:t>
      </w:r>
      <w:proofErr w:type="gramEnd"/>
      <w:r w:rsidRPr="007F6940">
        <w:rPr>
          <w:rFonts w:ascii="Times New Roman" w:eastAsia="Calibri" w:hAnsi="Times New Roman" w:cs="Times New Roman"/>
        </w:rPr>
        <w:tab/>
        <w:t>…</w:t>
      </w:r>
    </w:p>
    <w:tbl>
      <w:tblPr>
        <w:tblW w:w="95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ook w:val="04A0" w:firstRow="1" w:lastRow="0" w:firstColumn="1" w:lastColumn="0" w:noHBand="0" w:noVBand="1"/>
      </w:tblPr>
      <w:tblGrid>
        <w:gridCol w:w="9517"/>
      </w:tblGrid>
      <w:tr w:rsidR="007F6940" w:rsidRPr="007F6940" w14:paraId="32161717" w14:textId="77777777" w:rsidTr="002938AA">
        <w:trPr>
          <w:tblHeader/>
        </w:trPr>
        <w:tc>
          <w:tcPr>
            <w:tcW w:w="9517" w:type="dxa"/>
            <w:tcBorders>
              <w:top w:val="double" w:sz="6" w:space="0" w:color="auto"/>
              <w:bottom w:val="single" w:sz="6" w:space="0" w:color="auto"/>
            </w:tcBorders>
            <w:shd w:val="clear" w:color="auto" w:fill="auto"/>
          </w:tcPr>
          <w:p w14:paraId="28E3468B" w14:textId="77777777" w:rsidR="007F6940" w:rsidRPr="007F6940" w:rsidRDefault="007F6940" w:rsidP="007F6940">
            <w:pPr>
              <w:tabs>
                <w:tab w:val="left" w:pos="720"/>
              </w:tabs>
              <w:spacing w:line="480" w:lineRule="auto"/>
              <w:jc w:val="center"/>
              <w:rPr>
                <w:rFonts w:ascii="Times New Roman" w:eastAsia="Calibri" w:hAnsi="Times New Roman" w:cs="Times New Roman"/>
              </w:rPr>
            </w:pPr>
            <w:r w:rsidRPr="007F6940">
              <w:rPr>
                <w:rFonts w:ascii="Times New Roman" w:eastAsia="Calibri" w:hAnsi="Times New Roman" w:cs="Times New Roman"/>
                <w:b/>
              </w:rPr>
              <w:t>40 CFR Part 70 General Conditions</w:t>
            </w:r>
          </w:p>
        </w:tc>
      </w:tr>
      <w:tr w:rsidR="007F6940" w:rsidRPr="007F6940" w14:paraId="2705560D" w14:textId="77777777" w:rsidTr="002938AA">
        <w:tc>
          <w:tcPr>
            <w:tcW w:w="9517" w:type="dxa"/>
            <w:tcBorders>
              <w:top w:val="single" w:sz="6" w:space="0" w:color="auto"/>
            </w:tcBorders>
            <w:shd w:val="clear" w:color="auto" w:fill="auto"/>
          </w:tcPr>
          <w:p w14:paraId="1480A9F8"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tab/>
              <w:t>A. — J.6.</w:t>
            </w:r>
            <w:r w:rsidRPr="007F6940">
              <w:rPr>
                <w:rFonts w:ascii="Times New Roman" w:eastAsia="Calibri" w:hAnsi="Times New Roman" w:cs="Times New Roman"/>
              </w:rPr>
              <w:tab/>
              <w:t>…</w:t>
            </w:r>
          </w:p>
        </w:tc>
      </w:tr>
      <w:tr w:rsidR="007F6940" w:rsidRPr="007F6940" w14:paraId="5F8D2714" w14:textId="77777777" w:rsidTr="002938AA">
        <w:tc>
          <w:tcPr>
            <w:tcW w:w="9517" w:type="dxa"/>
            <w:shd w:val="clear" w:color="auto" w:fill="auto"/>
          </w:tcPr>
          <w:p w14:paraId="12C30B17"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tab/>
              <w:t>K.</w:t>
            </w:r>
            <w:r w:rsidRPr="007F6940">
              <w:rPr>
                <w:rFonts w:ascii="Times New Roman" w:eastAsia="Calibri" w:hAnsi="Times New Roman" w:cs="Times New Roman"/>
              </w:rPr>
              <w:tab/>
              <w:t>The permittee shall submit, at least semiannually, a report of any required monitoring, clearly identifying all instances of deviations from permitted monitoring requirements</w:t>
            </w:r>
            <w:r w:rsidRPr="007F6940">
              <w:rPr>
                <w:rFonts w:ascii="Times New Roman" w:eastAsia="Calibri" w:hAnsi="Times New Roman" w:cs="Times New Roman"/>
                <w:strike/>
              </w:rPr>
              <w:t>. For previously-reported deviations, in lieu of attaching the individual deviation reports, the semiannual report may clearly reference the communications or correspondences constituting the prior report, including the date the prior report was submitted.</w:t>
            </w:r>
            <w:r w:rsidRPr="007F6940">
              <w:rPr>
                <w:rFonts w:ascii="Times New Roman" w:eastAsia="Calibri" w:hAnsi="Times New Roman" w:cs="Times New Roman"/>
              </w:rPr>
              <w:t xml:space="preserve"> </w:t>
            </w:r>
            <w:proofErr w:type="gramStart"/>
            <w:r w:rsidRPr="007F6940">
              <w:rPr>
                <w:rFonts w:ascii="Times New Roman" w:eastAsia="Calibri" w:hAnsi="Times New Roman" w:cs="Times New Roman"/>
                <w:u w:val="single"/>
              </w:rPr>
              <w:t>using</w:t>
            </w:r>
            <w:proofErr w:type="gramEnd"/>
            <w:r w:rsidRPr="007F6940">
              <w:rPr>
                <w:rFonts w:ascii="Times New Roman" w:eastAsia="Calibri" w:hAnsi="Times New Roman" w:cs="Times New Roman"/>
                <w:u w:val="single"/>
              </w:rPr>
              <w:t xml:space="preserve"> the current version of the Louisiana DEQ Title V Semiannual Monitoring form found on the department’s website or other means as approved by the department. </w:t>
            </w:r>
            <w:r w:rsidRPr="007F6940">
              <w:rPr>
                <w:rFonts w:ascii="Times New Roman" w:eastAsia="Calibri" w:hAnsi="Times New Roman" w:cs="Times New Roman"/>
              </w:rPr>
              <w:t>The semiannual report shall be certified by a responsible official and submitted to the Office of Environmental Compliance by March 31 for the preceding period encompassing July through December, and by September 30 for the preceding period encompassing January through June. The semiannual report shall be submitted for each reporting period after the permit has been issued, including during any construction phase and regardless of whether the facility or unit was in operation. The semiannual report may include any semiannual deviation report required to be submitted by March 31 or September 30 in accordance with Part 70 General Condition R as long as the report clearly indicates this, and all required information is included and clearly delineated in the consolidated report.</w:t>
            </w:r>
          </w:p>
        </w:tc>
      </w:tr>
      <w:tr w:rsidR="007F6940" w:rsidRPr="007F6940" w14:paraId="200321D6" w14:textId="77777777" w:rsidTr="002938AA">
        <w:tc>
          <w:tcPr>
            <w:tcW w:w="9517" w:type="dxa"/>
            <w:shd w:val="clear" w:color="auto" w:fill="auto"/>
          </w:tcPr>
          <w:p w14:paraId="45210D2C"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tab/>
              <w:t>L.</w:t>
            </w:r>
            <w:r w:rsidRPr="007F6940">
              <w:rPr>
                <w:rFonts w:ascii="Times New Roman" w:eastAsia="Calibri" w:hAnsi="Times New Roman" w:cs="Times New Roman"/>
              </w:rPr>
              <w:tab/>
              <w:t>…</w:t>
            </w:r>
          </w:p>
        </w:tc>
      </w:tr>
      <w:tr w:rsidR="007F6940" w:rsidRPr="007F6940" w14:paraId="305A50AA" w14:textId="77777777" w:rsidTr="002938AA">
        <w:tc>
          <w:tcPr>
            <w:tcW w:w="9517" w:type="dxa"/>
            <w:shd w:val="clear" w:color="auto" w:fill="auto"/>
          </w:tcPr>
          <w:p w14:paraId="3335C1D8"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lastRenderedPageBreak/>
              <w:tab/>
              <w:t>M.</w:t>
            </w:r>
            <w:r w:rsidRPr="007F6940">
              <w:rPr>
                <w:rFonts w:ascii="Times New Roman" w:eastAsia="Calibri" w:hAnsi="Times New Roman" w:cs="Times New Roman"/>
              </w:rPr>
              <w:tab/>
              <w:t>Compliance certifications required by LAC 33:III.507.H.5 shall be submitted to the administrator as well as the permitting authority</w:t>
            </w:r>
            <w:r w:rsidRPr="007F6940">
              <w:rPr>
                <w:rFonts w:ascii="Times New Roman" w:eastAsia="Calibri" w:hAnsi="Times New Roman" w:cs="Times New Roman"/>
                <w:u w:val="single"/>
              </w:rPr>
              <w:t xml:space="preserve"> using the current version of the Louisiana DEQ Title V Annual Compliance Certification form found on the department’s website or other means as approved by the department</w:t>
            </w:r>
            <w:r w:rsidRPr="007F6940">
              <w:rPr>
                <w:rFonts w:ascii="Times New Roman" w:eastAsia="Calibri" w:hAnsi="Times New Roman" w:cs="Times New Roman"/>
              </w:rPr>
              <w:t>. For previously-reported compliance deviations, in lieu of attaching the individual deviation reports, the annual report may clearly reference the communications or correspondences constituting the prior report, including the date the prior report was submitted. The compliance certifications shall be submitted to the Office of Environmental Compliance by March 31 for the preceding calendar year. The compliance certification shall be submitted for each reporting period after the permit has been issued, including during any construction phase and regardless of whether the facility or unit was in operation.</w:t>
            </w:r>
          </w:p>
        </w:tc>
      </w:tr>
      <w:tr w:rsidR="007F6940" w:rsidRPr="007F6940" w14:paraId="79A035AD" w14:textId="77777777" w:rsidTr="002938AA">
        <w:tc>
          <w:tcPr>
            <w:tcW w:w="9517" w:type="dxa"/>
            <w:tcBorders>
              <w:bottom w:val="single" w:sz="6" w:space="0" w:color="auto"/>
            </w:tcBorders>
            <w:shd w:val="clear" w:color="auto" w:fill="auto"/>
          </w:tcPr>
          <w:p w14:paraId="13D55164"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tab/>
              <w:t>N. — R.2.</w:t>
            </w:r>
            <w:r w:rsidRPr="007F6940">
              <w:rPr>
                <w:rFonts w:ascii="Times New Roman" w:eastAsia="Calibri" w:hAnsi="Times New Roman" w:cs="Times New Roman"/>
              </w:rPr>
              <w:tab/>
              <w:t>…</w:t>
            </w:r>
          </w:p>
        </w:tc>
      </w:tr>
      <w:tr w:rsidR="007F6940" w:rsidRPr="007F6940" w14:paraId="79967EAE" w14:textId="77777777" w:rsidTr="002938AA">
        <w:tc>
          <w:tcPr>
            <w:tcW w:w="9517" w:type="dxa"/>
            <w:shd w:val="clear" w:color="auto" w:fill="auto"/>
          </w:tcPr>
          <w:p w14:paraId="12383193" w14:textId="77777777" w:rsidR="007F6940" w:rsidRPr="007F6940" w:rsidRDefault="007F6940" w:rsidP="007F6940">
            <w:pPr>
              <w:tabs>
                <w:tab w:val="left" w:pos="720"/>
              </w:tabs>
              <w:spacing w:line="480" w:lineRule="auto"/>
              <w:rPr>
                <w:rFonts w:ascii="Times New Roman" w:eastAsia="Calibri" w:hAnsi="Times New Roman" w:cs="Times New Roman"/>
              </w:rPr>
            </w:pPr>
            <w:bookmarkStart w:id="0" w:name="_GoBack"/>
            <w:r w:rsidRPr="007F6940">
              <w:rPr>
                <w:rFonts w:ascii="Times New Roman" w:eastAsia="Calibri" w:hAnsi="Times New Roman" w:cs="Times New Roman"/>
              </w:rPr>
              <w:tab/>
            </w:r>
            <w:r w:rsidRPr="007F6940">
              <w:rPr>
                <w:rFonts w:ascii="Times New Roman" w:eastAsia="Calibri" w:hAnsi="Times New Roman" w:cs="Times New Roman"/>
              </w:rPr>
              <w:tab/>
              <w:t>3.</w:t>
            </w:r>
            <w:r w:rsidRPr="007F6940">
              <w:rPr>
                <w:rFonts w:ascii="Times New Roman" w:eastAsia="Calibri" w:hAnsi="Times New Roman" w:cs="Times New Roman"/>
              </w:rPr>
              <w:tab/>
              <w:t xml:space="preserve">A written report shall be submitted semiannually to address all permit deviations not included in Paragraph 1 or 2 of Part 70 General Condition R. Unless required by an applicable reporting requirement, a written report is not required during periods in which there is no deviation. The semiannual deviation reports may be consolidated with the semiannual reports required by Part 70 General Condition K as long as the report clearly indicates this, and all required information is included and clearly delineated in the consolidated report. </w:t>
            </w:r>
            <w:r w:rsidRPr="007F6940">
              <w:rPr>
                <w:rFonts w:ascii="Times New Roman" w:eastAsia="Calibri" w:hAnsi="Times New Roman" w:cs="Times New Roman"/>
                <w:strike/>
              </w:rPr>
              <w:t xml:space="preserve">For previously-reported permit deviations (not reported in accordance with Paragraph 1 or 2 of Part 70 General Condition R), in lieu of attaching the individual deviation reports, the semiannual report may clearly reference the communications or correspondences constituting the prior report, including the date the prior report was submitted. </w:t>
            </w:r>
            <w:r w:rsidRPr="007F6940">
              <w:rPr>
                <w:rFonts w:ascii="Times New Roman" w:eastAsia="Calibri" w:hAnsi="Times New Roman" w:cs="Times New Roman"/>
              </w:rPr>
              <w:t xml:space="preserve">The semiannual report shall </w:t>
            </w:r>
            <w:r w:rsidRPr="007F6940">
              <w:rPr>
                <w:rFonts w:ascii="Times New Roman" w:eastAsia="Calibri" w:hAnsi="Times New Roman" w:cs="Times New Roman"/>
              </w:rPr>
              <w:lastRenderedPageBreak/>
              <w:t>be submitted by March 31, for the preceding period encompassing July through December, and by September 30, for the preceding period encompassing January through June.</w:t>
            </w:r>
          </w:p>
          <w:p w14:paraId="10D29478" w14:textId="77777777" w:rsidR="007F6940" w:rsidRPr="007F6940" w:rsidRDefault="007F6940" w:rsidP="007F6940">
            <w:pPr>
              <w:tabs>
                <w:tab w:val="left" w:pos="720"/>
              </w:tabs>
              <w:spacing w:line="480" w:lineRule="auto"/>
              <w:rPr>
                <w:rFonts w:ascii="Times New Roman" w:eastAsia="Calibri" w:hAnsi="Times New Roman" w:cs="Times New Roman"/>
              </w:rPr>
            </w:pPr>
            <w:r w:rsidRPr="007F6940">
              <w:rPr>
                <w:rFonts w:ascii="Times New Roman" w:eastAsia="Calibri" w:hAnsi="Times New Roman" w:cs="Times New Roman"/>
              </w:rPr>
              <w:tab/>
              <w:t>R.4. — W.</w:t>
            </w:r>
            <w:r w:rsidRPr="007F6940">
              <w:rPr>
                <w:rFonts w:ascii="Times New Roman" w:eastAsia="Calibri" w:hAnsi="Times New Roman" w:cs="Times New Roman"/>
              </w:rPr>
              <w:tab/>
              <w:t>…</w:t>
            </w:r>
          </w:p>
        </w:tc>
      </w:tr>
      <w:bookmarkEnd w:id="0"/>
    </w:tbl>
    <w:p w14:paraId="1D86D72B" w14:textId="77777777" w:rsidR="007F6940" w:rsidRPr="007F6940" w:rsidRDefault="007F6940" w:rsidP="007F6940">
      <w:pPr>
        <w:tabs>
          <w:tab w:val="left" w:pos="288"/>
        </w:tabs>
        <w:contextualSpacing/>
        <w:rPr>
          <w:rFonts w:ascii="Times New Roman" w:eastAsia="Calibri" w:hAnsi="Times New Roman" w:cs="Times New Roman"/>
        </w:rPr>
      </w:pPr>
    </w:p>
    <w:p w14:paraId="58F94D22" w14:textId="77777777" w:rsidR="007F6940" w:rsidRPr="007F6940" w:rsidRDefault="007F6940" w:rsidP="007F6940">
      <w:pPr>
        <w:tabs>
          <w:tab w:val="left" w:pos="288"/>
        </w:tabs>
        <w:contextualSpacing/>
        <w:rPr>
          <w:rFonts w:ascii="Times New Roman" w:eastAsia="Calibri" w:hAnsi="Times New Roman" w:cs="Times New Roman"/>
        </w:rPr>
      </w:pPr>
      <w:r w:rsidRPr="007F6940">
        <w:rPr>
          <w:rFonts w:ascii="Times New Roman" w:eastAsia="Calibri" w:hAnsi="Times New Roman" w:cs="Times New Roman"/>
        </w:rPr>
        <w:tab/>
        <w:t>AUTHORITY NOTE:</w:t>
      </w:r>
      <w:r w:rsidRPr="007F6940">
        <w:rPr>
          <w:rFonts w:ascii="Times New Roman" w:eastAsia="Calibri" w:hAnsi="Times New Roman" w:cs="Times New Roman"/>
        </w:rPr>
        <w:tab/>
        <w:t>Promulgated in accordance with R.S. 30:2011, 2023, 2024, and 2054.</w:t>
      </w:r>
    </w:p>
    <w:p w14:paraId="6F10FA40" w14:textId="24A81681" w:rsidR="007F6940" w:rsidRPr="007F6940" w:rsidRDefault="007F6940" w:rsidP="007F6940">
      <w:pPr>
        <w:tabs>
          <w:tab w:val="left" w:pos="270"/>
        </w:tabs>
        <w:rPr>
          <w:rFonts w:ascii="Times New Roman" w:eastAsia="Calibri" w:hAnsi="Times New Roman" w:cs="Times New Roman"/>
        </w:rPr>
      </w:pPr>
      <w:r w:rsidRPr="007F6940">
        <w:rPr>
          <w:rFonts w:ascii="Times New Roman" w:eastAsia="Calibri" w:hAnsi="Times New Roman" w:cs="Times New Roman"/>
          <w:kern w:val="2"/>
        </w:rPr>
        <w:tab/>
        <w:t>HISTORICAL NOTE:</w:t>
      </w:r>
      <w:r w:rsidRPr="007F6940">
        <w:rPr>
          <w:rFonts w:ascii="Times New Roman" w:eastAsia="Calibri" w:hAnsi="Times New Roman" w:cs="Times New Roman"/>
          <w:kern w:val="2"/>
        </w:rPr>
        <w:tab/>
        <w:t xml:space="preserve">Promulgated by the Department of Environmental Quality, the Office of the Secretary, Legal Affairs Division, </w:t>
      </w:r>
      <w:proofErr w:type="gramStart"/>
      <w:r w:rsidRPr="007F6940">
        <w:rPr>
          <w:rFonts w:ascii="Times New Roman" w:eastAsia="Calibri" w:hAnsi="Times New Roman" w:cs="Times New Roman"/>
          <w:kern w:val="2"/>
        </w:rPr>
        <w:t>LR</w:t>
      </w:r>
      <w:proofErr w:type="gramEnd"/>
      <w:r w:rsidRPr="007F6940">
        <w:rPr>
          <w:rFonts w:ascii="Times New Roman" w:eastAsia="Calibri" w:hAnsi="Times New Roman" w:cs="Times New Roman"/>
          <w:kern w:val="2"/>
        </w:rPr>
        <w:t xml:space="preserve"> 35:658 (April 2009), LR 5</w:t>
      </w:r>
      <w:r w:rsidR="00A460FC">
        <w:rPr>
          <w:rFonts w:ascii="Times New Roman" w:eastAsia="Calibri" w:hAnsi="Times New Roman" w:cs="Times New Roman"/>
          <w:kern w:val="2"/>
        </w:rPr>
        <w:t>1</w:t>
      </w:r>
      <w:r w:rsidRPr="007F6940">
        <w:rPr>
          <w:rFonts w:ascii="Times New Roman" w:eastAsia="Calibri" w:hAnsi="Times New Roman" w:cs="Times New Roman"/>
          <w:kern w:val="2"/>
        </w:rPr>
        <w:t>:</w:t>
      </w:r>
    </w:p>
    <w:p w14:paraId="5D577DA9" w14:textId="77777777" w:rsidR="007F6940" w:rsidRDefault="007F6940"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7FEE964E" w14:textId="77777777" w:rsidR="007F6940" w:rsidRDefault="007F6940" w:rsidP="004F6187">
      <w:pPr>
        <w:pStyle w:val="WPNormal"/>
        <w:tabs>
          <w:tab w:val="left" w:pos="-720"/>
          <w:tab w:val="left" w:pos="0"/>
          <w:tab w:val="left" w:pos="720"/>
          <w:tab w:val="left" w:pos="1440"/>
          <w:tab w:val="left" w:pos="2160"/>
          <w:tab w:val="left" w:pos="2880"/>
        </w:tabs>
        <w:jc w:val="center"/>
        <w:rPr>
          <w:rFonts w:ascii="Palatino" w:hAnsi="Palatino"/>
          <w:b/>
          <w:sz w:val="20"/>
        </w:rPr>
      </w:pPr>
    </w:p>
    <w:sectPr w:rsidR="007F6940" w:rsidSect="00A460F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1DDE6" w14:textId="77777777" w:rsidR="0058568F" w:rsidRDefault="0058568F" w:rsidP="008C4A02">
      <w:r>
        <w:separator/>
      </w:r>
    </w:p>
  </w:endnote>
  <w:endnote w:type="continuationSeparator" w:id="0">
    <w:p w14:paraId="7B67406D" w14:textId="77777777" w:rsidR="0058568F" w:rsidRDefault="0058568F"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charset w:val="4D"/>
    <w:family w:val="auto"/>
    <w:pitch w:val="default"/>
    <w:sig w:usb0="03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B4A3C" w14:textId="77777777" w:rsidR="0058568F" w:rsidRDefault="0058568F" w:rsidP="008C4A02">
      <w:r>
        <w:separator/>
      </w:r>
    </w:p>
  </w:footnote>
  <w:footnote w:type="continuationSeparator" w:id="0">
    <w:p w14:paraId="4AE45E0C" w14:textId="77777777" w:rsidR="0058568F" w:rsidRDefault="0058568F"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6"/>
  </w:num>
  <w:num w:numId="5">
    <w:abstractNumId w:val="2"/>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82CD2"/>
    <w:rsid w:val="001649FC"/>
    <w:rsid w:val="00272DB7"/>
    <w:rsid w:val="00273E19"/>
    <w:rsid w:val="00287A7E"/>
    <w:rsid w:val="002C1611"/>
    <w:rsid w:val="00304AA0"/>
    <w:rsid w:val="003150FE"/>
    <w:rsid w:val="0031758E"/>
    <w:rsid w:val="00331549"/>
    <w:rsid w:val="003455EA"/>
    <w:rsid w:val="00380059"/>
    <w:rsid w:val="0041055E"/>
    <w:rsid w:val="00423713"/>
    <w:rsid w:val="0045048D"/>
    <w:rsid w:val="004815F6"/>
    <w:rsid w:val="00493842"/>
    <w:rsid w:val="00494E26"/>
    <w:rsid w:val="004F6187"/>
    <w:rsid w:val="005115E8"/>
    <w:rsid w:val="0058568F"/>
    <w:rsid w:val="005B49F9"/>
    <w:rsid w:val="00625862"/>
    <w:rsid w:val="00680EAE"/>
    <w:rsid w:val="0068124F"/>
    <w:rsid w:val="006C1C27"/>
    <w:rsid w:val="007053BA"/>
    <w:rsid w:val="007B6F9C"/>
    <w:rsid w:val="007E34EE"/>
    <w:rsid w:val="007F6940"/>
    <w:rsid w:val="00804B16"/>
    <w:rsid w:val="00825FE1"/>
    <w:rsid w:val="00876E9C"/>
    <w:rsid w:val="008B06ED"/>
    <w:rsid w:val="008B6D06"/>
    <w:rsid w:val="008C4A02"/>
    <w:rsid w:val="00907D13"/>
    <w:rsid w:val="00971B4D"/>
    <w:rsid w:val="009C6DF4"/>
    <w:rsid w:val="009F6411"/>
    <w:rsid w:val="00A460FC"/>
    <w:rsid w:val="00AD58F2"/>
    <w:rsid w:val="00B160E2"/>
    <w:rsid w:val="00BD16A0"/>
    <w:rsid w:val="00C10B50"/>
    <w:rsid w:val="00C46FDC"/>
    <w:rsid w:val="00CC1C75"/>
    <w:rsid w:val="00CF7167"/>
    <w:rsid w:val="00D00769"/>
    <w:rsid w:val="00D26A97"/>
    <w:rsid w:val="00D42DCA"/>
    <w:rsid w:val="00D7095D"/>
    <w:rsid w:val="00D86C01"/>
    <w:rsid w:val="00D94B7F"/>
    <w:rsid w:val="00DB1958"/>
    <w:rsid w:val="00E12B63"/>
    <w:rsid w:val="00E410B2"/>
    <w:rsid w:val="00E64426"/>
    <w:rsid w:val="00ED35DC"/>
    <w:rsid w:val="00F11475"/>
    <w:rsid w:val="00FE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272D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B7"/>
    <w:rPr>
      <w:rFonts w:ascii="Segoe UI" w:hAnsi="Segoe UI" w:cs="Segoe UI"/>
      <w:sz w:val="18"/>
      <w:szCs w:val="18"/>
    </w:rPr>
  </w:style>
  <w:style w:type="paragraph" w:styleId="Revision">
    <w:name w:val="Revision"/>
    <w:hidden/>
    <w:uiPriority w:val="99"/>
    <w:semiHidden/>
    <w:rsid w:val="002C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F8A2-4D24-485C-91F9-29125A3D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3</cp:revision>
  <cp:lastPrinted>2024-12-09T14:00:00Z</cp:lastPrinted>
  <dcterms:created xsi:type="dcterms:W3CDTF">2025-11-04T20:33:00Z</dcterms:created>
  <dcterms:modified xsi:type="dcterms:W3CDTF">2025-11-04T20:34:00Z</dcterms:modified>
</cp:coreProperties>
</file>