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40" w:rsidRDefault="00781140" w:rsidP="006159C2">
      <w:pPr>
        <w:pStyle w:val="Title"/>
      </w:pPr>
      <w:r>
        <w:t>NOTICE OF INTENT</w:t>
      </w:r>
    </w:p>
    <w:p w:rsidR="00781140" w:rsidRDefault="00781140" w:rsidP="006159C2">
      <w:pPr>
        <w:jc w:val="center"/>
        <w:rPr>
          <w:sz w:val="24"/>
        </w:rPr>
      </w:pPr>
    </w:p>
    <w:p w:rsidR="00781140" w:rsidRDefault="00781140" w:rsidP="006159C2">
      <w:pPr>
        <w:jc w:val="center"/>
        <w:rPr>
          <w:sz w:val="24"/>
        </w:rPr>
      </w:pPr>
      <w:r>
        <w:rPr>
          <w:sz w:val="24"/>
        </w:rPr>
        <w:t>Department of Environmental Quality</w:t>
      </w:r>
    </w:p>
    <w:p w:rsidR="00781140" w:rsidRDefault="00781140" w:rsidP="006159C2">
      <w:pPr>
        <w:jc w:val="center"/>
        <w:rPr>
          <w:sz w:val="24"/>
        </w:rPr>
      </w:pPr>
      <w:r>
        <w:rPr>
          <w:sz w:val="24"/>
        </w:rPr>
        <w:t>Office of the Secretary</w:t>
      </w:r>
    </w:p>
    <w:p w:rsidR="00781140" w:rsidRDefault="00781140" w:rsidP="006159C2">
      <w:pPr>
        <w:jc w:val="center"/>
        <w:rPr>
          <w:sz w:val="24"/>
        </w:rPr>
      </w:pPr>
      <w:r>
        <w:rPr>
          <w:sz w:val="24"/>
        </w:rPr>
        <w:t>Legal Affairs Division</w:t>
      </w:r>
    </w:p>
    <w:p w:rsidR="00781140" w:rsidRDefault="00781140" w:rsidP="006159C2">
      <w:pPr>
        <w:jc w:val="center"/>
        <w:rPr>
          <w:sz w:val="24"/>
        </w:rPr>
      </w:pPr>
    </w:p>
    <w:p w:rsidR="00781140" w:rsidRDefault="00781140" w:rsidP="006159C2">
      <w:pPr>
        <w:jc w:val="center"/>
        <w:rPr>
          <w:sz w:val="24"/>
        </w:rPr>
      </w:pPr>
      <w:r w:rsidRPr="0088497A">
        <w:rPr>
          <w:noProof/>
          <w:sz w:val="24"/>
        </w:rPr>
        <w:t>Termination of Stage II Program</w:t>
      </w:r>
    </w:p>
    <w:p w:rsidR="00781140" w:rsidRDefault="00781140" w:rsidP="006159C2">
      <w:pPr>
        <w:jc w:val="center"/>
        <w:rPr>
          <w:sz w:val="24"/>
        </w:rPr>
      </w:pPr>
      <w:r>
        <w:rPr>
          <w:sz w:val="24"/>
        </w:rPr>
        <w:t>(</w:t>
      </w:r>
      <w:r w:rsidRPr="0088497A">
        <w:rPr>
          <w:noProof/>
          <w:sz w:val="24"/>
        </w:rPr>
        <w:t>LAC 33:III.2132.J.3</w:t>
      </w:r>
      <w:r>
        <w:rPr>
          <w:sz w:val="24"/>
        </w:rPr>
        <w:t>)</w:t>
      </w:r>
    </w:p>
    <w:p w:rsidR="005E006D" w:rsidRDefault="005E006D" w:rsidP="006159C2">
      <w:pPr>
        <w:jc w:val="center"/>
        <w:rPr>
          <w:sz w:val="24"/>
        </w:rPr>
      </w:pPr>
    </w:p>
    <w:p w:rsidR="00781140" w:rsidRDefault="00781140" w:rsidP="006159C2">
      <w:pPr>
        <w:rPr>
          <w:sz w:val="24"/>
        </w:rPr>
      </w:pPr>
      <w:r>
        <w:rPr>
          <w:sz w:val="24"/>
        </w:rPr>
        <w:tab/>
        <w:t xml:space="preserve">Under the authority of the Louisiana Environmental Quality Act, R.S. 30:2001 et seq., and in accordance with the provisions of the Administrative Procedure Act, R.S. 49:950 et seq., the secretary gives notice that rulemaking procedures have been initiated to amend the </w:t>
      </w:r>
      <w:r w:rsidRPr="0088497A">
        <w:rPr>
          <w:noProof/>
          <w:sz w:val="24"/>
        </w:rPr>
        <w:t>Air</w:t>
      </w:r>
      <w:r>
        <w:rPr>
          <w:sz w:val="24"/>
        </w:rPr>
        <w:t xml:space="preserve"> regulations, </w:t>
      </w:r>
      <w:r w:rsidRPr="0088497A">
        <w:rPr>
          <w:noProof/>
          <w:sz w:val="24"/>
        </w:rPr>
        <w:t>LAC 33:III.2132.J.3</w:t>
      </w:r>
      <w:r>
        <w:rPr>
          <w:sz w:val="24"/>
        </w:rPr>
        <w:t xml:space="preserve"> (</w:t>
      </w:r>
      <w:r w:rsidRPr="0088497A">
        <w:rPr>
          <w:noProof/>
          <w:sz w:val="24"/>
        </w:rPr>
        <w:t>AQ404</w:t>
      </w:r>
      <w:r>
        <w:rPr>
          <w:sz w:val="24"/>
        </w:rPr>
        <w:t>).</w:t>
      </w:r>
    </w:p>
    <w:p w:rsidR="00781140" w:rsidRDefault="00781140" w:rsidP="006159C2">
      <w:pPr>
        <w:rPr>
          <w:sz w:val="24"/>
        </w:rPr>
      </w:pPr>
    </w:p>
    <w:p w:rsidR="00781140" w:rsidRDefault="00781140" w:rsidP="006159C2">
      <w:pPr>
        <w:rPr>
          <w:sz w:val="24"/>
        </w:rPr>
      </w:pPr>
      <w:r>
        <w:rPr>
          <w:sz w:val="24"/>
        </w:rPr>
        <w:tab/>
      </w:r>
      <w:r w:rsidRPr="0088497A">
        <w:rPr>
          <w:noProof/>
          <w:sz w:val="24"/>
        </w:rPr>
        <w:t xml:space="preserve">The proposed Rule modifies the wording of LAC 33:III.2132.J.3 </w:t>
      </w:r>
      <w:r w:rsidR="00FF7A1D" w:rsidRPr="00FF7A1D">
        <w:rPr>
          <w:noProof/>
          <w:sz w:val="24"/>
        </w:rPr>
        <w:t>for</w:t>
      </w:r>
      <w:r w:rsidR="00FF7A1D">
        <w:rPr>
          <w:noProof/>
          <w:sz w:val="24"/>
        </w:rPr>
        <w:t xml:space="preserve"> </w:t>
      </w:r>
      <w:r w:rsidRPr="0088497A">
        <w:rPr>
          <w:noProof/>
          <w:sz w:val="24"/>
        </w:rPr>
        <w:t>existing facilities that have Stage II vapor recovery equipment. It further clarifies that failure to properly decommission Stage II vapor recovery systems may subject affected facilities to enforcement action. The proposed Rule also replaces the stated enforcement actions of "requiring decommissioning of the stage II vapor recovery system" and "prohibition of the sale/dispensing of gasoline" with a reference to the penalties listed in LAC 33:III.2132.H.1.</w:t>
      </w:r>
      <w:r w:rsidR="004548A5">
        <w:rPr>
          <w:sz w:val="24"/>
        </w:rPr>
        <w:t xml:space="preserve"> </w:t>
      </w:r>
      <w:r w:rsidRPr="0088497A">
        <w:rPr>
          <w:noProof/>
          <w:sz w:val="24"/>
        </w:rPr>
        <w:t>The basis and rationale for this proposed Rule are to reduce the financial impact on the regulated community by providing more time to comply ahead of enforcement actions.</w:t>
      </w:r>
      <w:r w:rsidR="004548A5">
        <w:rPr>
          <w:sz w:val="24"/>
        </w:rPr>
        <w:t xml:space="preserve"> </w:t>
      </w:r>
      <w:r>
        <w:rPr>
          <w:sz w:val="24"/>
        </w:rPr>
        <w:t>This Rule meets an exception listed in R.S. 30:2019(D)(2) and R.S. 49:963.B(3); therefore, no report regarding environmental/health benefits and soc</w:t>
      </w:r>
      <w:r w:rsidR="004548A5">
        <w:rPr>
          <w:sz w:val="24"/>
        </w:rPr>
        <w:t>ial/economic costs is required.</w:t>
      </w:r>
    </w:p>
    <w:p w:rsidR="00781140" w:rsidRDefault="00781140" w:rsidP="006159C2">
      <w:pPr>
        <w:rPr>
          <w:sz w:val="24"/>
        </w:rPr>
      </w:pPr>
    </w:p>
    <w:p w:rsidR="00781140" w:rsidRDefault="00781140" w:rsidP="006159C2">
      <w:pPr>
        <w:jc w:val="center"/>
        <w:rPr>
          <w:sz w:val="24"/>
        </w:rPr>
      </w:pPr>
      <w:r>
        <w:rPr>
          <w:b/>
          <w:sz w:val="24"/>
        </w:rPr>
        <w:t>Family Impact Statement</w:t>
      </w:r>
    </w:p>
    <w:p w:rsidR="00781140" w:rsidRDefault="00781140" w:rsidP="006159C2">
      <w:pPr>
        <w:ind w:firstLine="720"/>
        <w:rPr>
          <w:sz w:val="24"/>
        </w:rPr>
      </w:pPr>
      <w:r>
        <w:rPr>
          <w:sz w:val="24"/>
        </w:rPr>
        <w:t>This Rule has no known impact on family formation, stability, and autono</w:t>
      </w:r>
      <w:r w:rsidR="004548A5">
        <w:rPr>
          <w:sz w:val="24"/>
        </w:rPr>
        <w:t>my as described in R.S. 49:972.</w:t>
      </w:r>
    </w:p>
    <w:p w:rsidR="00781140" w:rsidRDefault="00781140" w:rsidP="006159C2">
      <w:pPr>
        <w:jc w:val="center"/>
        <w:rPr>
          <w:sz w:val="24"/>
        </w:rPr>
      </w:pPr>
      <w:r>
        <w:rPr>
          <w:b/>
          <w:sz w:val="24"/>
        </w:rPr>
        <w:t>Poverty Impact Statement</w:t>
      </w:r>
    </w:p>
    <w:p w:rsidR="00781140" w:rsidRDefault="00781140" w:rsidP="006159C2">
      <w:pPr>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781140" w:rsidRDefault="00781140" w:rsidP="006159C2">
      <w:pPr>
        <w:ind w:firstLine="720"/>
        <w:rPr>
          <w:color w:val="000000"/>
          <w:sz w:val="24"/>
          <w:szCs w:val="24"/>
        </w:rPr>
      </w:pPr>
    </w:p>
    <w:p w:rsidR="00781140" w:rsidRDefault="00781140" w:rsidP="006159C2">
      <w:pPr>
        <w:jc w:val="center"/>
        <w:rPr>
          <w:b/>
          <w:color w:val="000000"/>
          <w:sz w:val="24"/>
          <w:szCs w:val="24"/>
        </w:rPr>
      </w:pPr>
      <w:r>
        <w:rPr>
          <w:b/>
          <w:color w:val="000000"/>
          <w:sz w:val="24"/>
          <w:szCs w:val="24"/>
        </w:rPr>
        <w:t>Small Business Analysis</w:t>
      </w:r>
    </w:p>
    <w:p w:rsidR="00781140" w:rsidRDefault="00781140" w:rsidP="006159C2">
      <w:pPr>
        <w:ind w:firstLine="720"/>
        <w:rPr>
          <w:sz w:val="24"/>
          <w:szCs w:val="24"/>
        </w:rPr>
      </w:pPr>
      <w:r>
        <w:rPr>
          <w:color w:val="000000"/>
          <w:sz w:val="24"/>
          <w:szCs w:val="24"/>
        </w:rPr>
        <w:t xml:space="preserve">This Rule has no known </w:t>
      </w:r>
      <w:r w:rsidR="005D0146">
        <w:rPr>
          <w:color w:val="000000"/>
          <w:sz w:val="24"/>
          <w:szCs w:val="24"/>
        </w:rPr>
        <w:t xml:space="preserve">adverse </w:t>
      </w:r>
      <w:r>
        <w:rPr>
          <w:color w:val="000000"/>
          <w:sz w:val="24"/>
          <w:szCs w:val="24"/>
        </w:rPr>
        <w:t xml:space="preserve">impact on small business as described </w:t>
      </w:r>
      <w:r w:rsidRPr="003C1B5D">
        <w:rPr>
          <w:color w:val="000000"/>
          <w:sz w:val="24"/>
          <w:szCs w:val="24"/>
        </w:rPr>
        <w:t xml:space="preserve">in </w:t>
      </w:r>
      <w:r w:rsidRPr="003C1B5D">
        <w:rPr>
          <w:sz w:val="24"/>
          <w:szCs w:val="24"/>
        </w:rPr>
        <w:t>R.S. 49:</w:t>
      </w:r>
      <w:r>
        <w:rPr>
          <w:sz w:val="24"/>
          <w:szCs w:val="24"/>
        </w:rPr>
        <w:t>974.1</w:t>
      </w:r>
      <w:r w:rsidRPr="003C1B5D">
        <w:rPr>
          <w:sz w:val="24"/>
          <w:szCs w:val="24"/>
        </w:rPr>
        <w:t xml:space="preserve"> - 9</w:t>
      </w:r>
      <w:r>
        <w:rPr>
          <w:sz w:val="24"/>
          <w:szCs w:val="24"/>
        </w:rPr>
        <w:t>74</w:t>
      </w:r>
      <w:r w:rsidRPr="003C1B5D">
        <w:rPr>
          <w:sz w:val="24"/>
          <w:szCs w:val="24"/>
        </w:rPr>
        <w:t>.8</w:t>
      </w:r>
      <w:r>
        <w:rPr>
          <w:sz w:val="24"/>
          <w:szCs w:val="24"/>
        </w:rPr>
        <w:t>.</w:t>
      </w:r>
      <w:r w:rsidR="005D0146">
        <w:rPr>
          <w:sz w:val="24"/>
          <w:szCs w:val="24"/>
        </w:rPr>
        <w:t xml:space="preserve"> This Rule reduces the number of small businesses that will be subject to costly enforcement actions.</w:t>
      </w:r>
    </w:p>
    <w:p w:rsidR="00781140" w:rsidRPr="003C1B5D" w:rsidRDefault="00781140" w:rsidP="006159C2">
      <w:pPr>
        <w:ind w:firstLine="720"/>
        <w:rPr>
          <w:color w:val="000000"/>
          <w:sz w:val="24"/>
          <w:szCs w:val="24"/>
        </w:rPr>
      </w:pPr>
    </w:p>
    <w:p w:rsidR="00781140" w:rsidRDefault="00781140" w:rsidP="006159C2">
      <w:pPr>
        <w:jc w:val="center"/>
        <w:rPr>
          <w:color w:val="000000"/>
          <w:sz w:val="24"/>
          <w:szCs w:val="24"/>
        </w:rPr>
      </w:pPr>
      <w:r w:rsidRPr="00217563">
        <w:rPr>
          <w:b/>
          <w:color w:val="000000"/>
          <w:sz w:val="24"/>
          <w:szCs w:val="24"/>
        </w:rPr>
        <w:t>Provider Impact Statement</w:t>
      </w:r>
    </w:p>
    <w:p w:rsidR="00781140" w:rsidRPr="00E36F02" w:rsidRDefault="00781140" w:rsidP="006159C2">
      <w:pPr>
        <w:ind w:firstLine="720"/>
        <w:rPr>
          <w:sz w:val="24"/>
          <w:szCs w:val="24"/>
        </w:rPr>
      </w:pPr>
      <w:r w:rsidRPr="00E36F02">
        <w:rPr>
          <w:color w:val="000000"/>
          <w:sz w:val="24"/>
          <w:szCs w:val="24"/>
        </w:rPr>
        <w:t xml:space="preserve">This </w:t>
      </w:r>
      <w:r>
        <w:rPr>
          <w:color w:val="000000"/>
          <w:sz w:val="24"/>
          <w:szCs w:val="24"/>
        </w:rPr>
        <w:t>R</w:t>
      </w:r>
      <w:r w:rsidRPr="00E36F02">
        <w:rPr>
          <w:color w:val="000000"/>
          <w:sz w:val="24"/>
          <w:szCs w:val="24"/>
        </w:rPr>
        <w:t>ule has no known impact on providers as described in HCR 170 of 2014.</w:t>
      </w:r>
    </w:p>
    <w:p w:rsidR="00781140" w:rsidRDefault="00781140" w:rsidP="006159C2">
      <w:pPr>
        <w:rPr>
          <w:sz w:val="24"/>
        </w:rPr>
      </w:pPr>
    </w:p>
    <w:p w:rsidR="00781140" w:rsidRPr="00217563" w:rsidRDefault="00781140" w:rsidP="006159C2">
      <w:pPr>
        <w:jc w:val="center"/>
        <w:rPr>
          <w:b/>
          <w:sz w:val="24"/>
        </w:rPr>
      </w:pPr>
      <w:r w:rsidRPr="00217563">
        <w:rPr>
          <w:b/>
          <w:sz w:val="24"/>
        </w:rPr>
        <w:t>Public Comments</w:t>
      </w:r>
    </w:p>
    <w:p w:rsidR="00781140" w:rsidRDefault="00781140" w:rsidP="006159C2">
      <w:pPr>
        <w:rPr>
          <w:sz w:val="24"/>
        </w:rPr>
      </w:pPr>
      <w:r>
        <w:rPr>
          <w:sz w:val="24"/>
        </w:rPr>
        <w:tab/>
        <w:t xml:space="preserve">All interested persons are invited to submit written comments on the proposed Rule. Persons commenting should reference this proposed Rule by </w:t>
      </w:r>
      <w:r w:rsidRPr="0088497A">
        <w:rPr>
          <w:noProof/>
          <w:sz w:val="24"/>
        </w:rPr>
        <w:t>AQ404</w:t>
      </w:r>
      <w:r w:rsidR="004548A5">
        <w:rPr>
          <w:sz w:val="24"/>
        </w:rPr>
        <w:t xml:space="preserve">. </w:t>
      </w:r>
      <w:r>
        <w:rPr>
          <w:sz w:val="24"/>
        </w:rPr>
        <w:t xml:space="preserve">Such comments must be received no later than </w:t>
      </w:r>
      <w:r>
        <w:rPr>
          <w:noProof/>
          <w:sz w:val="24"/>
        </w:rPr>
        <w:t>November 6, 2025</w:t>
      </w:r>
      <w:r>
        <w:rPr>
          <w:sz w:val="24"/>
        </w:rPr>
        <w:t xml:space="preserve">, at 4:30 p.m., and should be sent to William Little, Attorney Supervisor, </w:t>
      </w:r>
      <w:r w:rsidRPr="00503D28">
        <w:rPr>
          <w:sz w:val="24"/>
          <w:szCs w:val="24"/>
        </w:rPr>
        <w:t xml:space="preserve">Office of the Secretary, </w:t>
      </w:r>
      <w:r>
        <w:rPr>
          <w:sz w:val="24"/>
        </w:rPr>
        <w:t>Legal Affairs Division</w:t>
      </w:r>
      <w:r w:rsidRPr="00503D28">
        <w:rPr>
          <w:sz w:val="24"/>
          <w:szCs w:val="24"/>
        </w:rPr>
        <w:t xml:space="preserve">, </w:t>
      </w:r>
      <w:r>
        <w:rPr>
          <w:sz w:val="24"/>
          <w:szCs w:val="24"/>
        </w:rPr>
        <w:t xml:space="preserve">P.O. </w:t>
      </w:r>
      <w:r w:rsidRPr="00503D28">
        <w:rPr>
          <w:sz w:val="24"/>
          <w:szCs w:val="24"/>
        </w:rPr>
        <w:t>Box 4302, Baton Rouge, LA 70821-4302</w:t>
      </w:r>
      <w:r>
        <w:rPr>
          <w:sz w:val="24"/>
          <w:szCs w:val="24"/>
        </w:rPr>
        <w:t xml:space="preserve">, by fax </w:t>
      </w:r>
      <w:r>
        <w:rPr>
          <w:sz w:val="24"/>
        </w:rPr>
        <w:t>(225) 219-4068, or by E-mail t</w:t>
      </w:r>
      <w:r w:rsidR="004548A5">
        <w:rPr>
          <w:sz w:val="24"/>
        </w:rPr>
        <w:t xml:space="preserve">o DEQ.Reg.Dev.Comments@la.gov. </w:t>
      </w:r>
      <w:r>
        <w:rPr>
          <w:sz w:val="24"/>
        </w:rPr>
        <w:t>Copies of the proposed Rule can be purchased by contacting the LDEQ Public Rec</w:t>
      </w:r>
      <w:r w:rsidR="004548A5">
        <w:rPr>
          <w:sz w:val="24"/>
        </w:rPr>
        <w:t xml:space="preserve">ords Center at (225) 219-3168. </w:t>
      </w:r>
      <w:r>
        <w:rPr>
          <w:sz w:val="24"/>
        </w:rPr>
        <w:t xml:space="preserve">Check or money order is required in advance for each copy of </w:t>
      </w:r>
      <w:r w:rsidRPr="0088497A">
        <w:rPr>
          <w:noProof/>
          <w:sz w:val="24"/>
        </w:rPr>
        <w:t>AQ404</w:t>
      </w:r>
      <w:r>
        <w:rPr>
          <w:sz w:val="24"/>
        </w:rPr>
        <w:t xml:space="preserve">. The proposed </w:t>
      </w:r>
      <w:r w:rsidR="00E51D87">
        <w:rPr>
          <w:sz w:val="24"/>
        </w:rPr>
        <w:t>Rule</w:t>
      </w:r>
      <w:r>
        <w:rPr>
          <w:sz w:val="24"/>
        </w:rPr>
        <w:t xml:space="preserve"> is available on the Internet at </w:t>
      </w:r>
      <w:r w:rsidRPr="005D7551">
        <w:rPr>
          <w:sz w:val="24"/>
        </w:rPr>
        <w:t>https://deq.louisiana.gov/page/monthly-regulation-changes-2025%20</w:t>
      </w:r>
      <w:r>
        <w:rPr>
          <w:sz w:val="24"/>
        </w:rPr>
        <w:t>.</w:t>
      </w:r>
      <w:r w:rsidRPr="00217563">
        <w:rPr>
          <w:sz w:val="24"/>
        </w:rPr>
        <w:t xml:space="preserve"> </w:t>
      </w:r>
    </w:p>
    <w:p w:rsidR="00781140" w:rsidRDefault="00781140" w:rsidP="006159C2">
      <w:pPr>
        <w:rPr>
          <w:sz w:val="24"/>
        </w:rPr>
      </w:pPr>
    </w:p>
    <w:p w:rsidR="00781140" w:rsidRDefault="00781140" w:rsidP="006159C2">
      <w:pPr>
        <w:jc w:val="center"/>
        <w:rPr>
          <w:sz w:val="24"/>
        </w:rPr>
      </w:pPr>
      <w:r w:rsidRPr="00217563">
        <w:rPr>
          <w:b/>
          <w:sz w:val="24"/>
        </w:rPr>
        <w:lastRenderedPageBreak/>
        <w:t>Public Hearing</w:t>
      </w:r>
    </w:p>
    <w:p w:rsidR="00781140" w:rsidRDefault="00781140" w:rsidP="00781140">
      <w:pPr>
        <w:ind w:firstLine="720"/>
        <w:rPr>
          <w:sz w:val="24"/>
        </w:rPr>
      </w:pPr>
      <w:r w:rsidRPr="00491FA5">
        <w:rPr>
          <w:sz w:val="24"/>
        </w:rPr>
        <w:t xml:space="preserve">A public hearing will be held on </w:t>
      </w:r>
      <w:r w:rsidRPr="00491FA5">
        <w:rPr>
          <w:noProof/>
          <w:sz w:val="24"/>
        </w:rPr>
        <w:t>October 30, 2025</w:t>
      </w:r>
      <w:r w:rsidRPr="00491FA5">
        <w:rPr>
          <w:sz w:val="24"/>
        </w:rPr>
        <w:t>, at 1:30 p.m. in the Galvez Building, Oliver Pollock Conference Room, 602 N. Fifth Street, Baton Rouge, LA 70802. Interested persons are invited to attend i</w:t>
      </w:r>
      <w:r w:rsidR="004548A5">
        <w:rPr>
          <w:sz w:val="24"/>
        </w:rPr>
        <w:t xml:space="preserve">n person or online via Zoom at </w:t>
      </w:r>
      <w:r w:rsidRPr="00491FA5">
        <w:rPr>
          <w:sz w:val="24"/>
        </w:rPr>
        <w:t>https://deqlouisiana.zoom.us/j/6836133613?omn=96029909881or by phone at (646) 255-1997 Meeting ID 683 613 3613. Should individuals with a disability need an accommodation in order to participate, contact Doug Bordelon at the address given below or at (225) 219-1325.</w:t>
      </w:r>
    </w:p>
    <w:p w:rsidR="00781140" w:rsidRDefault="00781140" w:rsidP="006159C2">
      <w:pPr>
        <w:rPr>
          <w:sz w:val="24"/>
        </w:rPr>
      </w:pPr>
    </w:p>
    <w:p w:rsidR="00781140" w:rsidRDefault="00781140" w:rsidP="006159C2">
      <w:pPr>
        <w:rPr>
          <w:sz w:val="24"/>
        </w:rPr>
      </w:pPr>
      <w:r>
        <w:rPr>
          <w:sz w:val="24"/>
        </w:rPr>
        <w:tab/>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 4, Suite 420, New Orleans, LA  70123</w:t>
      </w:r>
      <w:r>
        <w:rPr>
          <w:sz w:val="24"/>
        </w:rPr>
        <w:t>.</w:t>
      </w:r>
    </w:p>
    <w:p w:rsidR="00781140" w:rsidRDefault="00781140" w:rsidP="006159C2">
      <w:pPr>
        <w:rPr>
          <w:sz w:val="24"/>
        </w:rPr>
      </w:pPr>
    </w:p>
    <w:p w:rsidR="00781140" w:rsidRDefault="00781140" w:rsidP="006159C2">
      <w:pPr>
        <w:rPr>
          <w:sz w:val="24"/>
        </w:rPr>
      </w:pPr>
      <w:r>
        <w:rPr>
          <w:sz w:val="24"/>
        </w:rPr>
        <w:tab/>
      </w:r>
      <w:r>
        <w:rPr>
          <w:sz w:val="24"/>
        </w:rPr>
        <w:tab/>
      </w:r>
      <w:r>
        <w:rPr>
          <w:sz w:val="24"/>
        </w:rPr>
        <w:tab/>
      </w:r>
      <w:r>
        <w:rPr>
          <w:sz w:val="24"/>
        </w:rPr>
        <w:tab/>
      </w:r>
      <w:r>
        <w:rPr>
          <w:sz w:val="24"/>
        </w:rPr>
        <w:tab/>
      </w:r>
      <w:r>
        <w:rPr>
          <w:sz w:val="24"/>
        </w:rPr>
        <w:tab/>
        <w:t>Jill C. Clark</w:t>
      </w:r>
    </w:p>
    <w:p w:rsidR="00781140" w:rsidRDefault="00781140" w:rsidP="006159C2">
      <w:r>
        <w:rPr>
          <w:sz w:val="24"/>
        </w:rPr>
        <w:tab/>
      </w:r>
      <w:r>
        <w:rPr>
          <w:sz w:val="24"/>
        </w:rPr>
        <w:tab/>
      </w:r>
      <w:r>
        <w:rPr>
          <w:sz w:val="24"/>
        </w:rPr>
        <w:tab/>
      </w:r>
      <w:r>
        <w:rPr>
          <w:sz w:val="24"/>
        </w:rPr>
        <w:tab/>
      </w:r>
      <w:r>
        <w:rPr>
          <w:sz w:val="24"/>
        </w:rPr>
        <w:tab/>
      </w:r>
      <w:r>
        <w:rPr>
          <w:sz w:val="24"/>
        </w:rPr>
        <w:tab/>
        <w:t>General Counsel</w:t>
      </w:r>
    </w:p>
    <w:p w:rsidR="00781140" w:rsidRDefault="00781140" w:rsidP="006159C2">
      <w:pPr>
        <w:sectPr w:rsidR="00781140" w:rsidSect="00781140">
          <w:pgSz w:w="12240" w:h="15840"/>
          <w:pgMar w:top="1008" w:right="1440" w:bottom="1008" w:left="1440" w:header="720" w:footer="720" w:gutter="0"/>
          <w:pgNumType w:start="1"/>
          <w:cols w:space="720"/>
        </w:sectPr>
      </w:pPr>
    </w:p>
    <w:p w:rsidR="00C77DE4" w:rsidRPr="00005E9A" w:rsidRDefault="00C77DE4" w:rsidP="00C77DE4">
      <w:pPr>
        <w:pStyle w:val="Title1"/>
        <w:pageBreakBefore w:val="0"/>
        <w:tabs>
          <w:tab w:val="left" w:pos="720"/>
        </w:tabs>
        <w:spacing w:after="0"/>
        <w:rPr>
          <w:sz w:val="24"/>
          <w:szCs w:val="24"/>
        </w:rPr>
      </w:pPr>
      <w:bookmarkStart w:id="0" w:name="_Toc382830408"/>
      <w:bookmarkStart w:id="1" w:name="TOC_Sect595"/>
      <w:r w:rsidRPr="00005E9A">
        <w:rPr>
          <w:sz w:val="24"/>
          <w:szCs w:val="24"/>
        </w:rPr>
        <w:t xml:space="preserve">Title </w:t>
      </w:r>
      <w:bookmarkStart w:id="2" w:name="TitleNumber"/>
      <w:r w:rsidRPr="00005E9A">
        <w:rPr>
          <w:sz w:val="24"/>
          <w:szCs w:val="24"/>
        </w:rPr>
        <w:t>33</w:t>
      </w:r>
      <w:bookmarkEnd w:id="2"/>
    </w:p>
    <w:p w:rsidR="00C77DE4" w:rsidRPr="00005E9A" w:rsidRDefault="00C77DE4" w:rsidP="00C77DE4">
      <w:pPr>
        <w:pStyle w:val="Title2"/>
        <w:keepNext w:val="0"/>
        <w:keepLines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4"/>
          <w:szCs w:val="24"/>
        </w:rPr>
      </w:pPr>
      <w:bookmarkStart w:id="3" w:name="TitleName"/>
      <w:bookmarkStart w:id="4" w:name="PlaceKeeper"/>
      <w:r w:rsidRPr="00005E9A">
        <w:rPr>
          <w:sz w:val="24"/>
          <w:szCs w:val="24"/>
        </w:rPr>
        <w:t>ENVIRONMENTAL QUALITY</w:t>
      </w:r>
      <w:bookmarkEnd w:id="3"/>
      <w:bookmarkEnd w:id="4"/>
    </w:p>
    <w:p w:rsidR="00C77DE4" w:rsidRPr="00005E9A" w:rsidRDefault="00C77DE4" w:rsidP="00C77DE4">
      <w:pPr>
        <w:pStyle w:val="Part"/>
        <w:tabs>
          <w:tab w:val="left" w:pos="720"/>
        </w:tabs>
        <w:spacing w:after="0"/>
        <w:rPr>
          <w:sz w:val="24"/>
          <w:szCs w:val="24"/>
        </w:rPr>
      </w:pPr>
      <w:bookmarkStart w:id="5" w:name="TOC_Part0"/>
      <w:r w:rsidRPr="00005E9A">
        <w:rPr>
          <w:sz w:val="24"/>
          <w:szCs w:val="24"/>
        </w:rPr>
        <w:t>Part III.  Air</w:t>
      </w:r>
      <w:bookmarkEnd w:id="5"/>
    </w:p>
    <w:p w:rsidR="00C77DE4" w:rsidRPr="00005E9A" w:rsidRDefault="00C77DE4" w:rsidP="00C77DE4">
      <w:pPr>
        <w:pStyle w:val="Section"/>
        <w:keepNext w:val="0"/>
        <w:keepLines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4"/>
          <w:szCs w:val="24"/>
        </w:rPr>
      </w:pPr>
    </w:p>
    <w:p w:rsidR="00C77DE4" w:rsidRPr="00005E9A" w:rsidRDefault="00C77DE4" w:rsidP="00C77DE4">
      <w:pPr>
        <w:pStyle w:val="Section"/>
        <w:keepNext w:val="0"/>
        <w:keepLines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rPr>
          <w:sz w:val="24"/>
          <w:szCs w:val="24"/>
        </w:rPr>
      </w:pPr>
      <w:r>
        <w:rPr>
          <w:sz w:val="24"/>
          <w:szCs w:val="24"/>
        </w:rPr>
        <w:t>Chapter 21.</w:t>
      </w:r>
      <w:r>
        <w:rPr>
          <w:sz w:val="24"/>
          <w:szCs w:val="24"/>
        </w:rPr>
        <w:tab/>
      </w:r>
      <w:r w:rsidRPr="00005E9A">
        <w:rPr>
          <w:sz w:val="24"/>
          <w:szCs w:val="24"/>
        </w:rPr>
        <w:t>Control of Emission of Organic Compounds</w:t>
      </w:r>
    </w:p>
    <w:p w:rsidR="00C77DE4" w:rsidRDefault="00C77DE4" w:rsidP="00C77DE4">
      <w:pPr>
        <w:pStyle w:val="Section"/>
        <w:keepNext w:val="0"/>
        <w:keepLines w:val="0"/>
        <w:tabs>
          <w:tab w:val="clear" w:pos="0"/>
          <w:tab w:val="clear" w:pos="180"/>
          <w:tab w:val="clear" w:pos="36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rPr>
          <w:sz w:val="24"/>
          <w:szCs w:val="24"/>
        </w:rPr>
      </w:pPr>
    </w:p>
    <w:p w:rsidR="00C77DE4" w:rsidRPr="00005E9A" w:rsidRDefault="00C77DE4" w:rsidP="00C77DE4">
      <w:pPr>
        <w:pStyle w:val="Section"/>
        <w:keepNext w:val="0"/>
        <w:keepLines w:val="0"/>
        <w:tabs>
          <w:tab w:val="clear" w:pos="0"/>
          <w:tab w:val="clear" w:pos="180"/>
          <w:tab w:val="clear" w:pos="36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Subchapter F.</w:t>
      </w:r>
      <w:r>
        <w:rPr>
          <w:sz w:val="24"/>
          <w:szCs w:val="24"/>
        </w:rPr>
        <w:tab/>
      </w:r>
      <w:r w:rsidRPr="00005E9A">
        <w:rPr>
          <w:sz w:val="24"/>
          <w:szCs w:val="24"/>
        </w:rPr>
        <w:t>Gasoline Handling</w:t>
      </w:r>
    </w:p>
    <w:p w:rsidR="00C77DE4" w:rsidRDefault="00C77DE4" w:rsidP="00C77DE4">
      <w:pPr>
        <w:pStyle w:val="Section"/>
        <w:keepNext w:val="0"/>
        <w:keepLines w:val="0"/>
        <w:tabs>
          <w:tab w:val="clear" w:pos="0"/>
          <w:tab w:val="clear" w:pos="180"/>
          <w:tab w:val="clear" w:pos="360"/>
          <w:tab w:val="clear" w:pos="72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§2132.</w:t>
      </w:r>
      <w:r>
        <w:rPr>
          <w:sz w:val="24"/>
          <w:szCs w:val="24"/>
        </w:rPr>
        <w:tab/>
      </w:r>
      <w:r w:rsidRPr="00005E9A">
        <w:rPr>
          <w:sz w:val="24"/>
          <w:szCs w:val="24"/>
        </w:rPr>
        <w:t>Stage II Vapor Recovery Systems for Control of Vehicle Refueling Emissions at Gasoline Dispensing Facilities</w:t>
      </w:r>
      <w:bookmarkEnd w:id="0"/>
      <w:bookmarkEnd w:id="1"/>
    </w:p>
    <w:p w:rsidR="00C77DE4" w:rsidRDefault="00C77DE4" w:rsidP="00C77DE4">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pPr>
      <w:r>
        <w:rPr>
          <w:sz w:val="24"/>
          <w:szCs w:val="24"/>
        </w:rPr>
        <w:tab/>
      </w:r>
      <w:r w:rsidRPr="00005E9A">
        <w:rPr>
          <w:sz w:val="24"/>
          <w:szCs w:val="24"/>
        </w:rPr>
        <w:t>A.</w:t>
      </w:r>
      <w:r w:rsidRPr="00E213EB">
        <w:rPr>
          <w:sz w:val="24"/>
          <w:szCs w:val="24"/>
        </w:rPr>
        <w:t xml:space="preserve"> </w:t>
      </w:r>
      <w:r>
        <w:rPr>
          <w:sz w:val="24"/>
          <w:szCs w:val="24"/>
        </w:rPr>
        <w:t>— J.2.</w:t>
      </w:r>
      <w:r>
        <w:rPr>
          <w:sz w:val="24"/>
          <w:szCs w:val="24"/>
        </w:rPr>
        <w:tab/>
        <w:t>…</w:t>
      </w:r>
      <w:r w:rsidRPr="00CA72B1">
        <w:t xml:space="preserve"> </w:t>
      </w:r>
    </w:p>
    <w:p w:rsidR="00C77DE4" w:rsidRDefault="00C77DE4" w:rsidP="00C77DE4">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tab/>
      </w:r>
      <w:r>
        <w:rPr>
          <w:sz w:val="24"/>
          <w:szCs w:val="24"/>
        </w:rPr>
        <w:tab/>
      </w:r>
      <w:r w:rsidRPr="00CA72B1">
        <w:rPr>
          <w:sz w:val="24"/>
          <w:szCs w:val="24"/>
        </w:rPr>
        <w:t>3.</w:t>
      </w:r>
      <w:r w:rsidRPr="00CA72B1">
        <w:rPr>
          <w:sz w:val="24"/>
          <w:szCs w:val="24"/>
        </w:rPr>
        <w:tab/>
      </w:r>
      <w:r w:rsidRPr="00C50D1F">
        <w:rPr>
          <w:sz w:val="24"/>
          <w:szCs w:val="24"/>
        </w:rPr>
        <w:t xml:space="preserve">An existing facility with stage II vapor recovery equipment </w:t>
      </w:r>
      <w:r w:rsidRPr="00C50D1F">
        <w:rPr>
          <w:strike/>
          <w:sz w:val="24"/>
          <w:szCs w:val="24"/>
        </w:rPr>
        <w:t>shall</w:t>
      </w:r>
      <w:r w:rsidRPr="00C50D1F">
        <w:rPr>
          <w:sz w:val="24"/>
          <w:szCs w:val="24"/>
          <w:u w:val="single"/>
        </w:rPr>
        <w:t>may</w:t>
      </w:r>
      <w:r w:rsidRPr="00C50D1F">
        <w:rPr>
          <w:sz w:val="24"/>
          <w:szCs w:val="24"/>
        </w:rPr>
        <w:t xml:space="preserve"> complete decommissioning of the stage II equipment </w:t>
      </w:r>
      <w:r w:rsidRPr="00C50D1F">
        <w:rPr>
          <w:strike/>
          <w:sz w:val="24"/>
          <w:szCs w:val="24"/>
        </w:rPr>
        <w:t xml:space="preserve">no later than 18 months from </w:t>
      </w:r>
      <w:r w:rsidRPr="00C50D1F">
        <w:rPr>
          <w:sz w:val="24"/>
          <w:szCs w:val="24"/>
          <w:u w:val="single"/>
        </w:rPr>
        <w:t>at any time after</w:t>
      </w:r>
      <w:r w:rsidRPr="00C50D1F">
        <w:rPr>
          <w:sz w:val="24"/>
          <w:szCs w:val="24"/>
        </w:rPr>
        <w:t xml:space="preserve"> EPA approval of the SIP revision in Paragraph 1 of this Subsection. The failure to properly and timely decommission a stage II vapor recovery system in accordance with this Subsection </w:t>
      </w:r>
      <w:r w:rsidRPr="00C50D1F">
        <w:rPr>
          <w:strike/>
          <w:sz w:val="24"/>
          <w:szCs w:val="24"/>
        </w:rPr>
        <w:t>shall be</w:t>
      </w:r>
      <w:r w:rsidRPr="00C50D1F">
        <w:rPr>
          <w:sz w:val="24"/>
          <w:szCs w:val="24"/>
          <w:u w:val="single"/>
        </w:rPr>
        <w:t>is</w:t>
      </w:r>
      <w:r w:rsidRPr="00C50D1F">
        <w:rPr>
          <w:sz w:val="24"/>
          <w:szCs w:val="24"/>
        </w:rPr>
        <w:t xml:space="preserve"> a violation of the Act and these regulations and </w:t>
      </w:r>
      <w:r w:rsidRPr="00C50D1F">
        <w:rPr>
          <w:sz w:val="24"/>
          <w:szCs w:val="24"/>
          <w:u w:val="single"/>
        </w:rPr>
        <w:t>may be</w:t>
      </w:r>
      <w:r w:rsidRPr="00BF7B01">
        <w:rPr>
          <w:sz w:val="24"/>
          <w:szCs w:val="24"/>
          <w:u w:val="single"/>
        </w:rPr>
        <w:t xml:space="preserve"> </w:t>
      </w:r>
      <w:r w:rsidRPr="00C50D1F">
        <w:rPr>
          <w:sz w:val="24"/>
          <w:szCs w:val="24"/>
        </w:rPr>
        <w:t xml:space="preserve">subject to an enforcement action, which may include </w:t>
      </w:r>
      <w:r w:rsidRPr="00C50D1F">
        <w:rPr>
          <w:strike/>
          <w:sz w:val="24"/>
          <w:szCs w:val="24"/>
        </w:rPr>
        <w:t>requiring decommissioning of the stage II vapor recovery system and/or the prohibition of the sale/dispensing of gasoline at the facility</w:t>
      </w:r>
      <w:r w:rsidRPr="00C50D1F">
        <w:rPr>
          <w:sz w:val="24"/>
          <w:szCs w:val="24"/>
          <w:u w:val="single"/>
        </w:rPr>
        <w:t>penalties as indicated in LAC 33:III.2132.H.1</w:t>
      </w:r>
      <w:r w:rsidRPr="00C50D1F">
        <w:rPr>
          <w:sz w:val="24"/>
          <w:szCs w:val="24"/>
        </w:rPr>
        <w:t xml:space="preserve">. Once the decommission of the stage II vapor recovery system has been completed in accordance with this Subsection, the facility is no longer subject to the </w:t>
      </w:r>
      <w:r w:rsidRPr="00C50D1F">
        <w:rPr>
          <w:sz w:val="24"/>
          <w:szCs w:val="24"/>
        </w:rPr>
        <w:lastRenderedPageBreak/>
        <w:t>requirements of this Section, except to comply with notifications, procedures, and recordkeeping associated with decommissioning.</w:t>
      </w:r>
    </w:p>
    <w:p w:rsidR="00C77DE4" w:rsidRPr="00BF2486" w:rsidRDefault="00C77DE4" w:rsidP="00C77DE4">
      <w:pPr>
        <w:pStyle w:val="1"/>
        <w:tabs>
          <w:tab w:val="clear" w:pos="979"/>
          <w:tab w:val="clear" w:pos="1152"/>
          <w:tab w:val="clear" w:pos="4500"/>
          <w:tab w:val="clear" w:pos="4680"/>
          <w:tab w:val="clear" w:pos="4860"/>
          <w:tab w:val="clear" w:pos="5040"/>
          <w:tab w:val="clear" w:pos="7200"/>
          <w:tab w:val="left" w:pos="1440"/>
          <w:tab w:val="left" w:pos="2520"/>
        </w:tabs>
        <w:spacing w:after="0" w:line="480" w:lineRule="auto"/>
        <w:ind w:firstLine="0"/>
        <w:jc w:val="left"/>
        <w:rPr>
          <w:sz w:val="24"/>
          <w:szCs w:val="24"/>
        </w:rPr>
      </w:pPr>
      <w:r>
        <w:rPr>
          <w:sz w:val="24"/>
          <w:szCs w:val="24"/>
        </w:rPr>
        <w:tab/>
        <w:t>J.4. — J.4.e.ii.</w:t>
      </w:r>
      <w:r>
        <w:rPr>
          <w:sz w:val="24"/>
          <w:szCs w:val="24"/>
        </w:rPr>
        <w:tab/>
        <w:t>…</w:t>
      </w:r>
    </w:p>
    <w:p w:rsidR="00C77DE4" w:rsidRPr="00BF2486" w:rsidRDefault="00C77DE4" w:rsidP="00C77D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BF2486">
        <w:rPr>
          <w:sz w:val="24"/>
          <w:szCs w:val="24"/>
        </w:rPr>
        <w:t>AUTHORITY NOTE:</w:t>
      </w:r>
      <w:r w:rsidRPr="00BF2486">
        <w:rPr>
          <w:sz w:val="24"/>
          <w:szCs w:val="24"/>
        </w:rPr>
        <w:tab/>
        <w:t>Promulgated in accordance with R.S. 30:2054.</w:t>
      </w:r>
    </w:p>
    <w:p w:rsidR="00C77DE4" w:rsidRPr="00BF2486" w:rsidRDefault="00C77DE4" w:rsidP="00C77D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BF2486">
        <w:rPr>
          <w:sz w:val="24"/>
          <w:szCs w:val="24"/>
        </w:rPr>
        <w:t>HISTORICAL NOTE:</w:t>
      </w:r>
      <w:r w:rsidRPr="00BF2486">
        <w:rPr>
          <w:sz w:val="24"/>
          <w:szCs w:val="24"/>
        </w:rPr>
        <w:tab/>
        <w:t>Promulgated by the Department of Environmental Quality, Office of Air Quality and Radiation Protection, Air Quality Division, LR 18:1254 (November 1992), repromulgated LR 19:46 (January 1993), amended LR 23:1682 (December 1997), LR 24:25 (January 1998), amended by the Office of Environmental Assessment, Environmental Planning Division, LR 26:2453 (November 2000), LR 29:558 (April 2003), amended by the Office of the Secretary, Legal Affairs Division, LR 31:2440 (October 2005), LR 33:2086 (October 2007), LR 34:1890 (September 2008), LR 34:2397 (November 2008), LR 37:1147 (April 2011), amended by the Office of the Secretary, Legal Division, LR 38:2752 (November 2012), amended by the Office of the Secretary, Legal Affairs and Criminal Investigations Division, LR 43:2138 (Novembe</w:t>
      </w:r>
      <w:r>
        <w:rPr>
          <w:sz w:val="24"/>
          <w:szCs w:val="24"/>
        </w:rPr>
        <w:t>r 2017), LR 44:1242 (July 2018), amended by the Office of the Secretary, Legal Affairs Division, LR 51:</w:t>
      </w:r>
    </w:p>
    <w:p w:rsidR="00781140" w:rsidRDefault="00781140" w:rsidP="006159C2">
      <w:bookmarkStart w:id="6" w:name="_GoBack"/>
      <w:bookmarkEnd w:id="6"/>
    </w:p>
    <w:sectPr w:rsidR="00781140" w:rsidSect="00781140">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40" w:rsidRDefault="00781140">
      <w:r>
        <w:separator/>
      </w:r>
    </w:p>
  </w:endnote>
  <w:endnote w:type="continuationSeparator" w:id="0">
    <w:p w:rsidR="00781140" w:rsidRDefault="0078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40" w:rsidRDefault="00781140">
      <w:r>
        <w:separator/>
      </w:r>
    </w:p>
  </w:footnote>
  <w:footnote w:type="continuationSeparator" w:id="0">
    <w:p w:rsidR="00781140" w:rsidRDefault="0078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40148E80"/>
    <w:lvl w:ilvl="0" w:tplc="6380934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813E44"/>
    <w:multiLevelType w:val="hybridMultilevel"/>
    <w:tmpl w:val="7C3EF3D2"/>
    <w:lvl w:ilvl="0" w:tplc="11EAA6B2">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30149"/>
    <w:rsid w:val="000D4794"/>
    <w:rsid w:val="001106C9"/>
    <w:rsid w:val="0016193E"/>
    <w:rsid w:val="001661CB"/>
    <w:rsid w:val="0017592D"/>
    <w:rsid w:val="00191940"/>
    <w:rsid w:val="001B61E4"/>
    <w:rsid w:val="001D610D"/>
    <w:rsid w:val="001F55D8"/>
    <w:rsid w:val="001F6F0B"/>
    <w:rsid w:val="00236CDB"/>
    <w:rsid w:val="002660F2"/>
    <w:rsid w:val="00275455"/>
    <w:rsid w:val="002A4E73"/>
    <w:rsid w:val="002B4E22"/>
    <w:rsid w:val="002B6BBE"/>
    <w:rsid w:val="0035501D"/>
    <w:rsid w:val="003572E6"/>
    <w:rsid w:val="00382A9E"/>
    <w:rsid w:val="003863C6"/>
    <w:rsid w:val="003A3BE2"/>
    <w:rsid w:val="00416505"/>
    <w:rsid w:val="00432CE2"/>
    <w:rsid w:val="00437DB4"/>
    <w:rsid w:val="004548A5"/>
    <w:rsid w:val="0046362E"/>
    <w:rsid w:val="00491A95"/>
    <w:rsid w:val="004A161C"/>
    <w:rsid w:val="004A56D1"/>
    <w:rsid w:val="004B36D1"/>
    <w:rsid w:val="004B480E"/>
    <w:rsid w:val="0052683B"/>
    <w:rsid w:val="0056244F"/>
    <w:rsid w:val="00596553"/>
    <w:rsid w:val="005B51DD"/>
    <w:rsid w:val="005D0146"/>
    <w:rsid w:val="005D7551"/>
    <w:rsid w:val="005E006D"/>
    <w:rsid w:val="00607E13"/>
    <w:rsid w:val="006159C2"/>
    <w:rsid w:val="007775D7"/>
    <w:rsid w:val="00781140"/>
    <w:rsid w:val="007D7514"/>
    <w:rsid w:val="007E2201"/>
    <w:rsid w:val="007F6B4E"/>
    <w:rsid w:val="00825CF6"/>
    <w:rsid w:val="008518D2"/>
    <w:rsid w:val="00856954"/>
    <w:rsid w:val="00872505"/>
    <w:rsid w:val="008762E5"/>
    <w:rsid w:val="00883E83"/>
    <w:rsid w:val="008A770C"/>
    <w:rsid w:val="008C2675"/>
    <w:rsid w:val="008C333E"/>
    <w:rsid w:val="008C383C"/>
    <w:rsid w:val="008C3C24"/>
    <w:rsid w:val="008C4649"/>
    <w:rsid w:val="008D0EF8"/>
    <w:rsid w:val="008E32CC"/>
    <w:rsid w:val="008F2258"/>
    <w:rsid w:val="00942789"/>
    <w:rsid w:val="0099206D"/>
    <w:rsid w:val="009C791B"/>
    <w:rsid w:val="009F1A12"/>
    <w:rsid w:val="00A80CE6"/>
    <w:rsid w:val="00A8366E"/>
    <w:rsid w:val="00AF197E"/>
    <w:rsid w:val="00AF4126"/>
    <w:rsid w:val="00B079CE"/>
    <w:rsid w:val="00B563EF"/>
    <w:rsid w:val="00B907DD"/>
    <w:rsid w:val="00B955DC"/>
    <w:rsid w:val="00BB6AC3"/>
    <w:rsid w:val="00BC07D9"/>
    <w:rsid w:val="00BC2A92"/>
    <w:rsid w:val="00BD03F3"/>
    <w:rsid w:val="00C21D04"/>
    <w:rsid w:val="00C72073"/>
    <w:rsid w:val="00C77DE4"/>
    <w:rsid w:val="00CA6A25"/>
    <w:rsid w:val="00D36D64"/>
    <w:rsid w:val="00D479ED"/>
    <w:rsid w:val="00D54CEA"/>
    <w:rsid w:val="00DB350D"/>
    <w:rsid w:val="00E11082"/>
    <w:rsid w:val="00E13F2B"/>
    <w:rsid w:val="00E34203"/>
    <w:rsid w:val="00E420D9"/>
    <w:rsid w:val="00E51D87"/>
    <w:rsid w:val="00E542E6"/>
    <w:rsid w:val="00E55AEB"/>
    <w:rsid w:val="00E66061"/>
    <w:rsid w:val="00EC56D5"/>
    <w:rsid w:val="00EE5DB8"/>
    <w:rsid w:val="00EF0F3E"/>
    <w:rsid w:val="00EF1DCA"/>
    <w:rsid w:val="00F1374C"/>
    <w:rsid w:val="00F14C46"/>
    <w:rsid w:val="00F23769"/>
    <w:rsid w:val="00F45B98"/>
    <w:rsid w:val="00F70592"/>
    <w:rsid w:val="00F83B8B"/>
    <w:rsid w:val="00FA2A43"/>
    <w:rsid w:val="00FC5282"/>
    <w:rsid w:val="00FE5841"/>
    <w:rsid w:val="00FE5DD1"/>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087B3-CCBC-4893-A4EC-5FA97CA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link w:val="TitleChar"/>
    <w:qFormat/>
    <w:rsid w:val="006159C2"/>
    <w:pPr>
      <w:jc w:val="center"/>
    </w:pPr>
    <w:rPr>
      <w:sz w:val="24"/>
    </w:rPr>
  </w:style>
  <w:style w:type="character" w:customStyle="1" w:styleId="TitleChar">
    <w:name w:val="Title Char"/>
    <w:link w:val="Title"/>
    <w:rsid w:val="006159C2"/>
    <w:rPr>
      <w:sz w:val="24"/>
    </w:rPr>
  </w:style>
  <w:style w:type="paragraph" w:styleId="Header">
    <w:name w:val="header"/>
    <w:basedOn w:val="Normal"/>
    <w:link w:val="HeaderChar"/>
    <w:rsid w:val="006159C2"/>
    <w:pPr>
      <w:tabs>
        <w:tab w:val="center" w:pos="4680"/>
        <w:tab w:val="right" w:pos="9360"/>
      </w:tabs>
    </w:pPr>
  </w:style>
  <w:style w:type="character" w:customStyle="1" w:styleId="HeaderChar">
    <w:name w:val="Header Char"/>
    <w:basedOn w:val="DefaultParagraphFont"/>
    <w:link w:val="Header"/>
    <w:rsid w:val="006159C2"/>
  </w:style>
  <w:style w:type="paragraph" w:styleId="Footer">
    <w:name w:val="footer"/>
    <w:basedOn w:val="Normal"/>
    <w:link w:val="FooterChar"/>
    <w:rsid w:val="006159C2"/>
    <w:pPr>
      <w:tabs>
        <w:tab w:val="center" w:pos="4680"/>
        <w:tab w:val="right" w:pos="9360"/>
      </w:tabs>
    </w:pPr>
  </w:style>
  <w:style w:type="character" w:customStyle="1" w:styleId="FooterChar">
    <w:name w:val="Footer Char"/>
    <w:basedOn w:val="DefaultParagraphFont"/>
    <w:link w:val="Footer"/>
    <w:rsid w:val="006159C2"/>
  </w:style>
  <w:style w:type="paragraph" w:styleId="BalloonText">
    <w:name w:val="Balloon Text"/>
    <w:basedOn w:val="Normal"/>
    <w:link w:val="BalloonTextChar"/>
    <w:rsid w:val="005E006D"/>
    <w:rPr>
      <w:rFonts w:ascii="Segoe UI" w:hAnsi="Segoe UI" w:cs="Segoe UI"/>
      <w:sz w:val="18"/>
      <w:szCs w:val="18"/>
    </w:rPr>
  </w:style>
  <w:style w:type="character" w:customStyle="1" w:styleId="BalloonTextChar">
    <w:name w:val="Balloon Text Char"/>
    <w:basedOn w:val="DefaultParagraphFont"/>
    <w:link w:val="BalloonText"/>
    <w:rsid w:val="005E006D"/>
    <w:rPr>
      <w:rFonts w:ascii="Segoe UI" w:hAnsi="Segoe UI" w:cs="Segoe UI"/>
      <w:sz w:val="18"/>
      <w:szCs w:val="18"/>
    </w:rPr>
  </w:style>
  <w:style w:type="paragraph" w:customStyle="1" w:styleId="Section">
    <w:name w:val="Section"/>
    <w:basedOn w:val="Normal"/>
    <w:link w:val="SectionChar"/>
    <w:rsid w:val="00C77DE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rPr>
  </w:style>
  <w:style w:type="character" w:customStyle="1" w:styleId="SectionChar">
    <w:name w:val="Section Char"/>
    <w:link w:val="Section"/>
    <w:locked/>
    <w:rsid w:val="00C77DE4"/>
    <w:rPr>
      <w:b/>
      <w:kern w:val="2"/>
    </w:rPr>
  </w:style>
  <w:style w:type="paragraph" w:customStyle="1" w:styleId="Part">
    <w:name w:val="Part"/>
    <w:basedOn w:val="Title"/>
    <w:rsid w:val="00C77DE4"/>
    <w:pPr>
      <w:keepNext/>
      <w:keepLines/>
      <w:spacing w:after="120"/>
      <w:outlineLvl w:val="0"/>
    </w:pPr>
    <w:rPr>
      <w:b/>
      <w:kern w:val="2"/>
      <w:sz w:val="28"/>
    </w:rPr>
  </w:style>
  <w:style w:type="paragraph" w:customStyle="1" w:styleId="Title1">
    <w:name w:val="Title1"/>
    <w:basedOn w:val="Title"/>
    <w:next w:val="Title2"/>
    <w:rsid w:val="00C77DE4"/>
    <w:pPr>
      <w:pageBreakBefore/>
      <w:spacing w:after="60"/>
    </w:pPr>
    <w:rPr>
      <w:b/>
      <w:kern w:val="28"/>
      <w:sz w:val="28"/>
    </w:rPr>
  </w:style>
  <w:style w:type="paragraph" w:customStyle="1" w:styleId="Title2">
    <w:name w:val="Title2"/>
    <w:basedOn w:val="Normal"/>
    <w:rsid w:val="00C77DE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pPr>
    <w:rPr>
      <w:b/>
      <w:caps/>
      <w:kern w:val="2"/>
      <w:sz w:val="28"/>
    </w:rPr>
  </w:style>
  <w:style w:type="paragraph" w:customStyle="1" w:styleId="A">
    <w:name w:val="A."/>
    <w:basedOn w:val="Normal"/>
    <w:link w:val="AChar"/>
    <w:rsid w:val="00C77DE4"/>
    <w:pPr>
      <w:tabs>
        <w:tab w:val="left" w:pos="187"/>
        <w:tab w:val="left" w:pos="540"/>
        <w:tab w:val="left" w:pos="4500"/>
        <w:tab w:val="left" w:pos="4680"/>
        <w:tab w:val="left" w:pos="4860"/>
        <w:tab w:val="left" w:pos="5040"/>
        <w:tab w:val="left" w:pos="7200"/>
      </w:tabs>
      <w:spacing w:after="120"/>
      <w:ind w:firstLine="187"/>
      <w:jc w:val="both"/>
      <w:outlineLvl w:val="3"/>
    </w:pPr>
    <w:rPr>
      <w:kern w:val="2"/>
    </w:rPr>
  </w:style>
  <w:style w:type="character" w:customStyle="1" w:styleId="AChar">
    <w:name w:val="A. Char"/>
    <w:link w:val="A"/>
    <w:rsid w:val="00C77DE4"/>
    <w:rPr>
      <w:kern w:val="2"/>
    </w:rPr>
  </w:style>
  <w:style w:type="paragraph" w:customStyle="1" w:styleId="1">
    <w:name w:val="1."/>
    <w:basedOn w:val="Normal"/>
    <w:link w:val="1Char"/>
    <w:rsid w:val="00C77DE4"/>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 w:type="character" w:customStyle="1" w:styleId="1Char">
    <w:name w:val="1. Char"/>
    <w:link w:val="1"/>
    <w:rsid w:val="00C77DE4"/>
    <w:rPr>
      <w:kern w:val="2"/>
    </w:rPr>
  </w:style>
  <w:style w:type="paragraph" w:customStyle="1" w:styleId="AuthorityNote">
    <w:name w:val="Authority Note"/>
    <w:basedOn w:val="Normal"/>
    <w:link w:val="AuthorityNoteChar"/>
    <w:rsid w:val="00C77D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character" w:customStyle="1" w:styleId="AuthorityNoteChar">
    <w:name w:val="Authority Note Char"/>
    <w:link w:val="AuthorityNote"/>
    <w:locked/>
    <w:rsid w:val="00C77DE4"/>
    <w:rPr>
      <w:kern w:val="2"/>
      <w:sz w:val="18"/>
    </w:rPr>
  </w:style>
  <w:style w:type="paragraph" w:customStyle="1" w:styleId="HistoricalNote">
    <w:name w:val="Historical Note"/>
    <w:basedOn w:val="Normal"/>
    <w:link w:val="HistoricalNoteChar"/>
    <w:rsid w:val="00C77D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link w:val="HistoricalNote"/>
    <w:rsid w:val="00C77DE4"/>
    <w:rPr>
      <w:kern w:val="2"/>
      <w:sz w:val="18"/>
    </w:rPr>
  </w:style>
  <w:style w:type="table" w:styleId="TableGrid">
    <w:name w:val="Table Grid"/>
    <w:basedOn w:val="TableNormal"/>
    <w:uiPriority w:val="39"/>
    <w:rsid w:val="0017592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113</Lines>
  <Paragraphs>48</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4</cp:revision>
  <cp:lastPrinted>2025-08-21T19:57:00Z</cp:lastPrinted>
  <dcterms:created xsi:type="dcterms:W3CDTF">2025-08-28T18:11:00Z</dcterms:created>
  <dcterms:modified xsi:type="dcterms:W3CDTF">2025-09-10T12:57:00Z</dcterms:modified>
</cp:coreProperties>
</file>