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99" w:rsidRPr="00C754C1" w:rsidRDefault="00304799" w:rsidP="00C754C1">
      <w:pPr>
        <w:pStyle w:val="Heading1"/>
        <w:spacing w:after="0"/>
        <w:rPr>
          <w:sz w:val="24"/>
          <w:szCs w:val="24"/>
        </w:rPr>
      </w:pPr>
      <w:bookmarkStart w:id="0" w:name="TOC_Chap63"/>
      <w:bookmarkStart w:id="1" w:name="TOC_Sect406"/>
      <w:bookmarkStart w:id="2" w:name="_GoBack"/>
      <w:bookmarkEnd w:id="2"/>
      <w:r w:rsidRPr="00C754C1">
        <w:rPr>
          <w:sz w:val="24"/>
          <w:szCs w:val="24"/>
        </w:rPr>
        <w:t>Title 33</w:t>
      </w:r>
    </w:p>
    <w:p w:rsidR="00304799" w:rsidRPr="00C754C1" w:rsidRDefault="00304799" w:rsidP="00C754C1">
      <w:pPr>
        <w:spacing w:after="0"/>
        <w:jc w:val="center"/>
        <w:rPr>
          <w:b/>
          <w:sz w:val="24"/>
          <w:szCs w:val="24"/>
        </w:rPr>
      </w:pPr>
      <w:r w:rsidRPr="00C754C1">
        <w:rPr>
          <w:b/>
          <w:sz w:val="24"/>
          <w:szCs w:val="24"/>
        </w:rPr>
        <w:t>ENVIRONMENTAL QUALITY</w:t>
      </w:r>
    </w:p>
    <w:p w:rsidR="00A61E22" w:rsidRPr="00C754C1" w:rsidRDefault="00A61E22" w:rsidP="00C754C1">
      <w:pPr>
        <w:pStyle w:val="Heading2"/>
        <w:spacing w:after="0"/>
        <w:rPr>
          <w:sz w:val="24"/>
          <w:szCs w:val="24"/>
        </w:rPr>
      </w:pPr>
      <w:bookmarkStart w:id="3" w:name="TOC_Part0"/>
      <w:r w:rsidRPr="00C754C1">
        <w:rPr>
          <w:sz w:val="24"/>
          <w:szCs w:val="24"/>
        </w:rPr>
        <w:t>Part V.  Hazardous Waste and Hazardous Materials</w:t>
      </w:r>
      <w:bookmarkEnd w:id="3"/>
    </w:p>
    <w:p w:rsidR="00776078" w:rsidRPr="006B5E48" w:rsidRDefault="006B5E48" w:rsidP="006B5E48">
      <w:pPr>
        <w:jc w:val="center"/>
        <w:rPr>
          <w:b/>
          <w:sz w:val="24"/>
          <w:szCs w:val="24"/>
        </w:rPr>
      </w:pPr>
      <w:bookmarkStart w:id="4" w:name="TOC_Chap1172"/>
      <w:bookmarkEnd w:id="0"/>
      <w:bookmarkEnd w:id="1"/>
      <w:r w:rsidRPr="006B5E48">
        <w:rPr>
          <w:b/>
          <w:sz w:val="24"/>
          <w:szCs w:val="24"/>
        </w:rPr>
        <w:t xml:space="preserve">Subpart 1. </w:t>
      </w:r>
      <w:r w:rsidR="00A56E05">
        <w:rPr>
          <w:b/>
          <w:sz w:val="24"/>
          <w:szCs w:val="24"/>
        </w:rPr>
        <w:t xml:space="preserve"> </w:t>
      </w:r>
      <w:r w:rsidRPr="006B5E48">
        <w:rPr>
          <w:b/>
          <w:sz w:val="24"/>
          <w:szCs w:val="24"/>
        </w:rPr>
        <w:t>Department of Environmental Quality-Hazardous Waste</w:t>
      </w:r>
    </w:p>
    <w:p w:rsidR="00D33FA3" w:rsidRPr="00C754C1" w:rsidRDefault="00D33FA3" w:rsidP="00D66D61">
      <w:pPr>
        <w:pStyle w:val="Heading3"/>
        <w:spacing w:after="0" w:line="480" w:lineRule="auto"/>
        <w:rPr>
          <w:sz w:val="24"/>
          <w:szCs w:val="24"/>
        </w:rPr>
      </w:pPr>
      <w:r w:rsidRPr="00C754C1">
        <w:rPr>
          <w:sz w:val="24"/>
          <w:szCs w:val="24"/>
        </w:rPr>
        <w:t>Chapter 51.</w:t>
      </w:r>
      <w:bookmarkStart w:id="5" w:name="TOCT_Chap1172"/>
      <w:bookmarkEnd w:id="4"/>
      <w:r w:rsidR="00A56E05">
        <w:rPr>
          <w:sz w:val="24"/>
          <w:szCs w:val="24"/>
        </w:rPr>
        <w:tab/>
      </w:r>
      <w:r w:rsidRPr="00C754C1">
        <w:rPr>
          <w:sz w:val="24"/>
          <w:szCs w:val="24"/>
        </w:rPr>
        <w:t>Fee Schedules</w:t>
      </w:r>
      <w:bookmarkEnd w:id="5"/>
    </w:p>
    <w:p w:rsidR="00304799" w:rsidRPr="00C754C1" w:rsidRDefault="00304799" w:rsidP="00A56E05">
      <w:pPr>
        <w:pStyle w:val="Heading4"/>
        <w:tabs>
          <w:tab w:val="left" w:pos="990"/>
          <w:tab w:val="left" w:pos="1440"/>
          <w:tab w:val="left" w:pos="2160"/>
          <w:tab w:val="left" w:pos="3560"/>
        </w:tabs>
        <w:spacing w:after="0" w:line="480" w:lineRule="auto"/>
        <w:rPr>
          <w:sz w:val="24"/>
          <w:szCs w:val="24"/>
        </w:rPr>
      </w:pPr>
      <w:bookmarkStart w:id="6" w:name="TOC_Sect1926"/>
      <w:r w:rsidRPr="00C754C1">
        <w:rPr>
          <w:sz w:val="24"/>
          <w:szCs w:val="24"/>
        </w:rPr>
        <w:t>§512</w:t>
      </w:r>
      <w:r w:rsidR="00EF7FAA" w:rsidRPr="00C754C1">
        <w:rPr>
          <w:sz w:val="24"/>
          <w:szCs w:val="24"/>
        </w:rPr>
        <w:t>3</w:t>
      </w:r>
      <w:r w:rsidRPr="00C754C1">
        <w:rPr>
          <w:sz w:val="24"/>
          <w:szCs w:val="24"/>
        </w:rPr>
        <w:t>.</w:t>
      </w:r>
      <w:r w:rsidRPr="00C754C1">
        <w:rPr>
          <w:sz w:val="24"/>
          <w:szCs w:val="24"/>
        </w:rPr>
        <w:tab/>
      </w:r>
      <w:bookmarkEnd w:id="6"/>
      <w:r w:rsidR="00EF7FAA" w:rsidRPr="00C754C1">
        <w:rPr>
          <w:sz w:val="24"/>
          <w:szCs w:val="24"/>
        </w:rPr>
        <w:t>Annual Fee for Facilities with Closed Hazardous Waste Units in Post-Closure</w:t>
      </w:r>
    </w:p>
    <w:p w:rsidR="00EF7FAA" w:rsidRPr="00C754C1" w:rsidRDefault="00EF7FAA" w:rsidP="00A56E05">
      <w:pPr>
        <w:spacing w:after="0" w:line="480" w:lineRule="auto"/>
        <w:ind w:firstLine="720"/>
        <w:rPr>
          <w:sz w:val="24"/>
          <w:szCs w:val="24"/>
        </w:rPr>
      </w:pPr>
      <w:r w:rsidRPr="00C754C1">
        <w:rPr>
          <w:sz w:val="24"/>
          <w:szCs w:val="24"/>
        </w:rPr>
        <w:t>A.</w:t>
      </w:r>
      <w:r w:rsidRPr="00C754C1">
        <w:rPr>
          <w:sz w:val="24"/>
          <w:szCs w:val="24"/>
        </w:rPr>
        <w:tab/>
        <w:t>Post-Closure Annual Fee. This is an annual fee applied to defray the cost of annually inspecting the facilities with closed hazardous waste units in post-closure care</w:t>
      </w:r>
      <w:r w:rsidRPr="00C754C1">
        <w:rPr>
          <w:strike/>
          <w:sz w:val="24"/>
          <w:szCs w:val="24"/>
        </w:rPr>
        <w:t xml:space="preserve"> and with no operating unit/permit</w:t>
      </w:r>
      <w:r w:rsidRPr="00C754C1">
        <w:rPr>
          <w:sz w:val="24"/>
          <w:szCs w:val="24"/>
        </w:rPr>
        <w:t>. This fee shall be $4,125 annually.</w:t>
      </w:r>
    </w:p>
    <w:p w:rsidR="00EF7FAA" w:rsidRPr="00D66D61" w:rsidRDefault="00C754C1" w:rsidP="00896D39">
      <w:pPr>
        <w:pStyle w:val="Subtitle"/>
        <w:rPr>
          <w:sz w:val="24"/>
          <w:szCs w:val="24"/>
        </w:rPr>
      </w:pPr>
      <w:r w:rsidRPr="00C754C1">
        <w:tab/>
      </w:r>
      <w:r w:rsidR="00EF7FAA" w:rsidRPr="00D66D61">
        <w:rPr>
          <w:sz w:val="24"/>
          <w:szCs w:val="24"/>
        </w:rPr>
        <w:t>AUTHORITY NOTE:</w:t>
      </w:r>
      <w:r w:rsidR="00EF7FAA" w:rsidRPr="00D66D61">
        <w:rPr>
          <w:sz w:val="24"/>
          <w:szCs w:val="24"/>
        </w:rPr>
        <w:tab/>
        <w:t>Promulgated in accordance with R.S. 30:2014 et seq.</w:t>
      </w:r>
    </w:p>
    <w:p w:rsidR="00EF7FAA" w:rsidRPr="00D66D61" w:rsidRDefault="00C754C1" w:rsidP="00896D39">
      <w:pPr>
        <w:pStyle w:val="Subtitle"/>
        <w:rPr>
          <w:sz w:val="24"/>
          <w:szCs w:val="24"/>
        </w:rPr>
      </w:pPr>
      <w:r w:rsidRPr="00D66D61">
        <w:rPr>
          <w:sz w:val="24"/>
          <w:szCs w:val="24"/>
        </w:rPr>
        <w:tab/>
      </w:r>
      <w:r w:rsidR="00EF7FAA" w:rsidRPr="00D66D61">
        <w:rPr>
          <w:sz w:val="24"/>
          <w:szCs w:val="24"/>
        </w:rPr>
        <w:t>HISTORICAL NOTE:</w:t>
      </w:r>
      <w:r w:rsidR="00EF7FAA" w:rsidRPr="00D66D61">
        <w:rPr>
          <w:sz w:val="24"/>
          <w:szCs w:val="24"/>
        </w:rPr>
        <w:tab/>
        <w:t>Promulgated by the Department of Environmental Quality, Office of the Secretary, Legal Division, LR 43:945 (May 2017), amended by the Office of the Secretary, Legal Affairs and Criminal Investigations D</w:t>
      </w:r>
      <w:r w:rsidRPr="00D66D61">
        <w:rPr>
          <w:sz w:val="24"/>
          <w:szCs w:val="24"/>
        </w:rPr>
        <w:t>ivision, LR 44:1241 (July 2018), amended by the Office of Secretary, Legal Affairs Division,</w:t>
      </w:r>
      <w:r w:rsidR="00D66D61">
        <w:rPr>
          <w:sz w:val="24"/>
          <w:szCs w:val="24"/>
        </w:rPr>
        <w:t xml:space="preserve"> </w:t>
      </w:r>
      <w:r w:rsidRPr="00D66D61">
        <w:rPr>
          <w:sz w:val="24"/>
          <w:szCs w:val="24"/>
        </w:rPr>
        <w:t>LR 52:</w:t>
      </w:r>
    </w:p>
    <w:p w:rsidR="00304799" w:rsidRDefault="00304799" w:rsidP="00896D39">
      <w:pPr>
        <w:pStyle w:val="Subtitle"/>
      </w:pPr>
    </w:p>
    <w:p w:rsidR="00896D39" w:rsidRPr="00C754C1" w:rsidRDefault="00896D39" w:rsidP="00896D39">
      <w:pPr>
        <w:pStyle w:val="Subtitle"/>
      </w:pPr>
    </w:p>
    <w:p w:rsidR="00EF7FAA" w:rsidRPr="00D66D61" w:rsidRDefault="00EF7FAA" w:rsidP="00A56E05">
      <w:pPr>
        <w:pStyle w:val="Heading4"/>
        <w:tabs>
          <w:tab w:val="left" w:pos="1080"/>
        </w:tabs>
        <w:spacing w:after="0" w:line="480" w:lineRule="auto"/>
        <w:rPr>
          <w:sz w:val="24"/>
          <w:szCs w:val="24"/>
        </w:rPr>
      </w:pPr>
      <w:r w:rsidRPr="00D66D61">
        <w:rPr>
          <w:sz w:val="24"/>
          <w:szCs w:val="24"/>
        </w:rPr>
        <w:t>§5149.</w:t>
      </w:r>
      <w:r w:rsidRPr="00D66D61">
        <w:rPr>
          <w:sz w:val="24"/>
          <w:szCs w:val="24"/>
        </w:rPr>
        <w:tab/>
        <w:t>Annual Fee for Facilities with Closed Hazardous Waste Units in Post Closure</w:t>
      </w:r>
    </w:p>
    <w:p w:rsidR="00EF7FAA" w:rsidRPr="00C754C1" w:rsidRDefault="00EF7FAA" w:rsidP="00D66D61">
      <w:pPr>
        <w:spacing w:after="0" w:line="480" w:lineRule="auto"/>
        <w:ind w:firstLine="720"/>
        <w:rPr>
          <w:strike/>
          <w:sz w:val="24"/>
          <w:szCs w:val="24"/>
        </w:rPr>
      </w:pPr>
      <w:r w:rsidRPr="00C754C1">
        <w:rPr>
          <w:strike/>
          <w:sz w:val="24"/>
          <w:szCs w:val="24"/>
        </w:rPr>
        <w:t>A.</w:t>
      </w:r>
      <w:r w:rsidRPr="00C754C1">
        <w:rPr>
          <w:strike/>
          <w:sz w:val="24"/>
          <w:szCs w:val="24"/>
        </w:rPr>
        <w:tab/>
        <w:t>Post Closure Annual Fee. This is an annual fee applied to defray the cost of annually inspecting the facilities with closed hazardous waste units in post-closure care. This fee shall be $4,125 annually.</w:t>
      </w:r>
      <w:r w:rsidR="00896D39" w:rsidRPr="00896D39">
        <w:rPr>
          <w:sz w:val="24"/>
          <w:szCs w:val="24"/>
          <w:u w:val="single"/>
        </w:rPr>
        <w:t>Repealed</w:t>
      </w:r>
    </w:p>
    <w:p w:rsidR="00EF7FAA" w:rsidRPr="00D66D61" w:rsidRDefault="00C754C1" w:rsidP="00896D39">
      <w:pPr>
        <w:pStyle w:val="Subtitle"/>
        <w:rPr>
          <w:sz w:val="24"/>
          <w:szCs w:val="24"/>
        </w:rPr>
      </w:pPr>
      <w:r w:rsidRPr="00C754C1">
        <w:tab/>
      </w:r>
      <w:r w:rsidR="00EF7FAA" w:rsidRPr="00D66D61">
        <w:rPr>
          <w:sz w:val="24"/>
          <w:szCs w:val="24"/>
        </w:rPr>
        <w:t>AUTHORITY NOTE:</w:t>
      </w:r>
      <w:r w:rsidR="00EF7FAA" w:rsidRPr="00D66D61">
        <w:rPr>
          <w:sz w:val="24"/>
          <w:szCs w:val="24"/>
        </w:rPr>
        <w:tab/>
        <w:t>Promulgated in accordance with R.S. 30:2014.</w:t>
      </w:r>
    </w:p>
    <w:p w:rsidR="00EF7FAA" w:rsidRDefault="00C754C1" w:rsidP="00896D39">
      <w:pPr>
        <w:pStyle w:val="Subtitle"/>
        <w:rPr>
          <w:sz w:val="24"/>
          <w:szCs w:val="24"/>
        </w:rPr>
      </w:pPr>
      <w:r w:rsidRPr="00D66D61">
        <w:rPr>
          <w:sz w:val="24"/>
          <w:szCs w:val="24"/>
        </w:rPr>
        <w:tab/>
      </w:r>
      <w:r w:rsidR="00EF7FAA" w:rsidRPr="00D66D61">
        <w:rPr>
          <w:sz w:val="24"/>
          <w:szCs w:val="24"/>
        </w:rPr>
        <w:t>HISTORICAL NOTE:</w:t>
      </w:r>
      <w:r w:rsidR="00EF7FAA" w:rsidRPr="00D66D61">
        <w:rPr>
          <w:sz w:val="24"/>
          <w:szCs w:val="24"/>
        </w:rPr>
        <w:tab/>
        <w:t>Promulgated by the Department of Environmental Quality, Office of the Secretary, Legal</w:t>
      </w:r>
      <w:r w:rsidRPr="00D66D61">
        <w:rPr>
          <w:sz w:val="24"/>
          <w:szCs w:val="24"/>
        </w:rPr>
        <w:t xml:space="preserve"> Division, LR 43:946 (May 2017), repealed by the Office of Secretary, Legal Affairs Division,</w:t>
      </w:r>
      <w:r w:rsidR="00D66D61">
        <w:rPr>
          <w:sz w:val="24"/>
          <w:szCs w:val="24"/>
        </w:rPr>
        <w:t xml:space="preserve"> </w:t>
      </w:r>
      <w:r w:rsidRPr="00D66D61">
        <w:rPr>
          <w:sz w:val="24"/>
          <w:szCs w:val="24"/>
        </w:rPr>
        <w:t>LR 52:</w:t>
      </w:r>
    </w:p>
    <w:p w:rsidR="00385B7D" w:rsidRDefault="00385B7D" w:rsidP="00385B7D"/>
    <w:sectPr w:rsidR="00385B7D" w:rsidSect="00385B7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DD" w:rsidRDefault="005A04DD" w:rsidP="003C28CC">
      <w:pPr>
        <w:spacing w:after="0" w:line="240" w:lineRule="auto"/>
      </w:pPr>
      <w:r>
        <w:separator/>
      </w:r>
    </w:p>
  </w:endnote>
  <w:endnote w:type="continuationSeparator" w:id="0">
    <w:p w:rsidR="005A04DD" w:rsidRDefault="005A04DD" w:rsidP="003C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DD" w:rsidRDefault="005A04DD" w:rsidP="003C28CC">
      <w:pPr>
        <w:spacing w:after="0" w:line="240" w:lineRule="auto"/>
      </w:pPr>
      <w:r>
        <w:separator/>
      </w:r>
    </w:p>
  </w:footnote>
  <w:footnote w:type="continuationSeparator" w:id="0">
    <w:p w:rsidR="005A04DD" w:rsidRDefault="005A04DD" w:rsidP="003C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41D6"/>
    <w:multiLevelType w:val="hybridMultilevel"/>
    <w:tmpl w:val="F6EA37F2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70A58B8"/>
    <w:multiLevelType w:val="hybridMultilevel"/>
    <w:tmpl w:val="89DC1E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E7BA5"/>
    <w:multiLevelType w:val="hybridMultilevel"/>
    <w:tmpl w:val="A6CEE0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0AA679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2D6F10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F6539"/>
    <w:multiLevelType w:val="hybridMultilevel"/>
    <w:tmpl w:val="0B3A35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504F1"/>
    <w:multiLevelType w:val="hybridMultilevel"/>
    <w:tmpl w:val="865AB1B4"/>
    <w:lvl w:ilvl="0" w:tplc="B06E964E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60590F15"/>
    <w:multiLevelType w:val="hybridMultilevel"/>
    <w:tmpl w:val="FF2A9726"/>
    <w:lvl w:ilvl="0" w:tplc="5840F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400E8"/>
    <w:multiLevelType w:val="hybridMultilevel"/>
    <w:tmpl w:val="F6BE736A"/>
    <w:lvl w:ilvl="0" w:tplc="A86CE3D4">
      <w:start w:val="1"/>
      <w:numFmt w:val="upperLetter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70762F51"/>
    <w:multiLevelType w:val="hybridMultilevel"/>
    <w:tmpl w:val="C2E8F394"/>
    <w:lvl w:ilvl="0" w:tplc="2584B9EA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1B"/>
    <w:rsid w:val="0000744B"/>
    <w:rsid w:val="000219F3"/>
    <w:rsid w:val="000A6581"/>
    <w:rsid w:val="000D5312"/>
    <w:rsid w:val="00196C8B"/>
    <w:rsid w:val="001F1579"/>
    <w:rsid w:val="00244F94"/>
    <w:rsid w:val="00260A7C"/>
    <w:rsid w:val="00304799"/>
    <w:rsid w:val="003405DE"/>
    <w:rsid w:val="00385B7D"/>
    <w:rsid w:val="003875CD"/>
    <w:rsid w:val="00391E72"/>
    <w:rsid w:val="003C2265"/>
    <w:rsid w:val="003C28CC"/>
    <w:rsid w:val="004B38CF"/>
    <w:rsid w:val="004B6A6B"/>
    <w:rsid w:val="004D13D4"/>
    <w:rsid w:val="00572094"/>
    <w:rsid w:val="005A04DD"/>
    <w:rsid w:val="005A6BF2"/>
    <w:rsid w:val="005C7D60"/>
    <w:rsid w:val="006417D7"/>
    <w:rsid w:val="006831F6"/>
    <w:rsid w:val="006B111C"/>
    <w:rsid w:val="006B2582"/>
    <w:rsid w:val="006B5E48"/>
    <w:rsid w:val="006C45D2"/>
    <w:rsid w:val="007021B5"/>
    <w:rsid w:val="00713212"/>
    <w:rsid w:val="00776078"/>
    <w:rsid w:val="0078595F"/>
    <w:rsid w:val="007D0525"/>
    <w:rsid w:val="0088001B"/>
    <w:rsid w:val="00896D39"/>
    <w:rsid w:val="00986A5A"/>
    <w:rsid w:val="009B7BDA"/>
    <w:rsid w:val="00A56E05"/>
    <w:rsid w:val="00A61E22"/>
    <w:rsid w:val="00A9288A"/>
    <w:rsid w:val="00AB0E73"/>
    <w:rsid w:val="00B571E2"/>
    <w:rsid w:val="00B61A17"/>
    <w:rsid w:val="00C54A5E"/>
    <w:rsid w:val="00C754C1"/>
    <w:rsid w:val="00D06757"/>
    <w:rsid w:val="00D33FA3"/>
    <w:rsid w:val="00D630D0"/>
    <w:rsid w:val="00D66D61"/>
    <w:rsid w:val="00E43EDF"/>
    <w:rsid w:val="00E47437"/>
    <w:rsid w:val="00E61AC2"/>
    <w:rsid w:val="00EC2FDB"/>
    <w:rsid w:val="00EC3510"/>
    <w:rsid w:val="00ED2FF4"/>
    <w:rsid w:val="00EF7FAA"/>
    <w:rsid w:val="00F11C40"/>
    <w:rsid w:val="00F15285"/>
    <w:rsid w:val="00FA249F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B4C07-A94F-4702-A5D4-0C9AF3F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DE"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91E72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E72"/>
    <w:pPr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E72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E72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E72"/>
    <w:rPr>
      <w:rFonts w:ascii="Times New Roman" w:hAnsi="Times New Roman" w:cs="Times New Roman"/>
      <w:b/>
      <w:sz w:val="28"/>
      <w:szCs w:val="28"/>
    </w:rPr>
  </w:style>
  <w:style w:type="paragraph" w:customStyle="1" w:styleId="Section">
    <w:name w:val="Section"/>
    <w:basedOn w:val="Normal"/>
    <w:link w:val="SectionChar"/>
    <w:rsid w:val="0088001B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rFonts w:eastAsia="Times New Roman"/>
      <w:b/>
      <w:kern w:val="2"/>
    </w:rPr>
  </w:style>
  <w:style w:type="paragraph" w:customStyle="1" w:styleId="A">
    <w:name w:val="A."/>
    <w:basedOn w:val="Normal"/>
    <w:link w:val="AChar"/>
    <w:rsid w:val="0088001B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187"/>
      <w:jc w:val="both"/>
      <w:outlineLvl w:val="3"/>
    </w:pPr>
    <w:rPr>
      <w:rFonts w:eastAsia="Times New Roman"/>
      <w:kern w:val="2"/>
    </w:rPr>
  </w:style>
  <w:style w:type="paragraph" w:customStyle="1" w:styleId="1">
    <w:name w:val="1."/>
    <w:basedOn w:val="Normal"/>
    <w:link w:val="1Char"/>
    <w:rsid w:val="0088001B"/>
    <w:pPr>
      <w:tabs>
        <w:tab w:val="left" w:pos="720"/>
        <w:tab w:val="left" w:pos="979"/>
        <w:tab w:val="left" w:pos="1152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360"/>
      <w:jc w:val="both"/>
      <w:outlineLvl w:val="4"/>
    </w:pPr>
    <w:rPr>
      <w:rFonts w:eastAsia="Times New Roman"/>
      <w:kern w:val="2"/>
    </w:rPr>
  </w:style>
  <w:style w:type="paragraph" w:customStyle="1" w:styleId="a0">
    <w:name w:val="a."/>
    <w:basedOn w:val="Normal"/>
    <w:link w:val="aChar0"/>
    <w:rsid w:val="0088001B"/>
    <w:pPr>
      <w:tabs>
        <w:tab w:val="left" w:pos="907"/>
        <w:tab w:val="left" w:pos="4500"/>
        <w:tab w:val="left" w:pos="4680"/>
        <w:tab w:val="left" w:pos="4860"/>
        <w:tab w:val="left" w:pos="5040"/>
        <w:tab w:val="left" w:pos="7200"/>
      </w:tabs>
      <w:spacing w:after="120" w:line="240" w:lineRule="auto"/>
      <w:ind w:firstLine="547"/>
      <w:jc w:val="both"/>
      <w:outlineLvl w:val="5"/>
    </w:pPr>
    <w:rPr>
      <w:rFonts w:eastAsia="Times New Roman"/>
      <w:kern w:val="2"/>
    </w:rPr>
  </w:style>
  <w:style w:type="paragraph" w:customStyle="1" w:styleId="AuthorityNote">
    <w:name w:val="Authority Note"/>
    <w:basedOn w:val="Normal"/>
    <w:link w:val="AuthorityNoteChar"/>
    <w:rsid w:val="0088001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0" w:line="240" w:lineRule="auto"/>
      <w:ind w:firstLine="187"/>
      <w:jc w:val="both"/>
    </w:pPr>
    <w:rPr>
      <w:rFonts w:eastAsia="Times New Roman"/>
      <w:kern w:val="2"/>
      <w:sz w:val="18"/>
    </w:rPr>
  </w:style>
  <w:style w:type="paragraph" w:customStyle="1" w:styleId="HistoricalNote">
    <w:name w:val="Historical Note"/>
    <w:basedOn w:val="Normal"/>
    <w:link w:val="HistoricalNoteChar"/>
    <w:rsid w:val="0088001B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 w:line="240" w:lineRule="auto"/>
      <w:ind w:firstLine="187"/>
      <w:jc w:val="both"/>
    </w:pPr>
    <w:rPr>
      <w:rFonts w:eastAsia="Times New Roman"/>
      <w:kern w:val="2"/>
      <w:sz w:val="18"/>
    </w:rPr>
  </w:style>
  <w:style w:type="character" w:customStyle="1" w:styleId="HistoricalNoteChar">
    <w:name w:val="Historical Note Char"/>
    <w:link w:val="HistoricalNote"/>
    <w:rsid w:val="0088001B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aChar0">
    <w:name w:val="a. Char"/>
    <w:link w:val="a0"/>
    <w:locked/>
    <w:rsid w:val="0088001B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SectionChar">
    <w:name w:val="Section Char"/>
    <w:link w:val="Section"/>
    <w:locked/>
    <w:rsid w:val="0088001B"/>
    <w:rPr>
      <w:rFonts w:ascii="Times New Roman" w:eastAsia="Times New Roman" w:hAnsi="Times New Roman" w:cs="Times New Roman"/>
      <w:b/>
      <w:kern w:val="2"/>
      <w:sz w:val="20"/>
      <w:szCs w:val="20"/>
    </w:rPr>
  </w:style>
  <w:style w:type="paragraph" w:customStyle="1" w:styleId="Part">
    <w:name w:val="Part"/>
    <w:basedOn w:val="Title"/>
    <w:rsid w:val="0088001B"/>
    <w:pPr>
      <w:keepNext/>
      <w:keepLines/>
      <w:spacing w:after="120"/>
      <w:contextualSpacing w:val="0"/>
      <w:jc w:val="center"/>
      <w:outlineLvl w:val="0"/>
    </w:pPr>
    <w:rPr>
      <w:rFonts w:ascii="Times New Roman" w:eastAsia="Times New Roman" w:hAnsi="Times New Roman" w:cs="Times New Roman"/>
      <w:b/>
      <w:spacing w:val="0"/>
      <w:kern w:val="2"/>
      <w:sz w:val="28"/>
      <w:szCs w:val="20"/>
    </w:rPr>
  </w:style>
  <w:style w:type="paragraph" w:customStyle="1" w:styleId="Chapter">
    <w:name w:val="Chapter"/>
    <w:basedOn w:val="Normal"/>
    <w:link w:val="ChapterChar"/>
    <w:rsid w:val="0088001B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eastAsia="Times New Roman"/>
      <w:b/>
      <w:kern w:val="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800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304799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04799"/>
    <w:rPr>
      <w:rFonts w:ascii="Times New Roman" w:eastAsia="Times New Roman" w:hAnsi="Times New Roman" w:cs="Times New Roman"/>
      <w:sz w:val="20"/>
      <w:szCs w:val="20"/>
    </w:rPr>
  </w:style>
  <w:style w:type="paragraph" w:customStyle="1" w:styleId="TOCPart">
    <w:name w:val="TOCPart"/>
    <w:rsid w:val="0030479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AChar">
    <w:name w:val="A. Char"/>
    <w:link w:val="A"/>
    <w:rsid w:val="00304799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1Char">
    <w:name w:val="1. Char"/>
    <w:link w:val="1"/>
    <w:rsid w:val="00304799"/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uthorityNoteChar">
    <w:name w:val="Authority Note Char"/>
    <w:link w:val="AuthorityNote"/>
    <w:locked/>
    <w:rsid w:val="00304799"/>
    <w:rPr>
      <w:rFonts w:ascii="Times New Roman" w:eastAsia="Times New Roman" w:hAnsi="Times New Roman" w:cs="Times New Roman"/>
      <w:kern w:val="2"/>
      <w:sz w:val="18"/>
      <w:szCs w:val="20"/>
    </w:rPr>
  </w:style>
  <w:style w:type="character" w:customStyle="1" w:styleId="ChapterChar">
    <w:name w:val="Chapter Char"/>
    <w:link w:val="Chapter"/>
    <w:rsid w:val="00304799"/>
    <w:rPr>
      <w:rFonts w:ascii="Times New Roman" w:eastAsia="Times New Roman" w:hAnsi="Times New Roman" w:cs="Times New Roman"/>
      <w:b/>
      <w:kern w:val="2"/>
      <w:sz w:val="28"/>
      <w:szCs w:val="20"/>
    </w:rPr>
  </w:style>
  <w:style w:type="paragraph" w:styleId="NormalWeb">
    <w:name w:val="Normal (Web)"/>
    <w:basedOn w:val="Normal"/>
    <w:uiPriority w:val="99"/>
    <w:unhideWhenUsed/>
    <w:rsid w:val="00A9288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1E72"/>
    <w:rPr>
      <w:rFonts w:ascii="Times New Roman" w:hAnsi="Times New Roman" w:cs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1E72"/>
    <w:rPr>
      <w:rFonts w:ascii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D39"/>
    <w:pPr>
      <w:tabs>
        <w:tab w:val="left" w:pos="360"/>
      </w:tabs>
      <w:spacing w:after="0"/>
    </w:pPr>
    <w:rPr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6D39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91E72"/>
    <w:rPr>
      <w:rFonts w:ascii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6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C2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8CC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85B7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Dequeant</dc:creator>
  <cp:keywords/>
  <dc:description/>
  <cp:lastModifiedBy>Laura Almond</cp:lastModifiedBy>
  <cp:revision>3</cp:revision>
  <cp:lastPrinted>2025-10-14T19:48:00Z</cp:lastPrinted>
  <dcterms:created xsi:type="dcterms:W3CDTF">2026-03-30T19:10:00Z</dcterms:created>
  <dcterms:modified xsi:type="dcterms:W3CDTF">2026-03-30T19:11:00Z</dcterms:modified>
</cp:coreProperties>
</file>