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04" w:rsidRPr="00E96E04" w:rsidRDefault="00767A16" w:rsidP="00E96E04">
      <w:pPr>
        <w:pStyle w:val="Title"/>
      </w:pPr>
      <w:r w:rsidRPr="00E96E04">
        <w:t xml:space="preserve">Categorical </w:t>
      </w:r>
      <w:r w:rsidR="00E96E04" w:rsidRPr="00E96E04">
        <w:t>Exclusion</w:t>
      </w:r>
      <w:r w:rsidRPr="00E96E04">
        <w:t xml:space="preserve"> </w:t>
      </w:r>
    </w:p>
    <w:p w:rsidR="000075EA" w:rsidRPr="00E96E04" w:rsidRDefault="008B091B" w:rsidP="007B66EF">
      <w:pPr>
        <w:pStyle w:val="1"/>
        <w:ind w:firstLine="0"/>
        <w:rPr>
          <w:rFonts w:asciiTheme="majorHAnsi" w:hAnsiTheme="majorHAnsi"/>
          <w:sz w:val="24"/>
          <w:szCs w:val="24"/>
        </w:rPr>
      </w:pPr>
      <w:r w:rsidRPr="00E96E04">
        <w:rPr>
          <w:rFonts w:asciiTheme="majorHAnsi" w:hAnsiTheme="majorHAnsi"/>
          <w:sz w:val="24"/>
          <w:szCs w:val="24"/>
        </w:rPr>
        <w:t xml:space="preserve">Certain projects may qualify for a Categorical Exclusion </w:t>
      </w:r>
      <w:r w:rsidR="000075EA" w:rsidRPr="00E96E04">
        <w:rPr>
          <w:rFonts w:asciiTheme="majorHAnsi" w:hAnsiTheme="majorHAnsi"/>
          <w:sz w:val="24"/>
          <w:szCs w:val="24"/>
        </w:rPr>
        <w:t xml:space="preserve">(CE) </w:t>
      </w:r>
      <w:r w:rsidRPr="00E96E04">
        <w:rPr>
          <w:rFonts w:asciiTheme="majorHAnsi" w:hAnsiTheme="majorHAnsi"/>
          <w:sz w:val="24"/>
          <w:szCs w:val="24"/>
        </w:rPr>
        <w:t>in which case a</w:t>
      </w:r>
      <w:r w:rsidR="007B66EF" w:rsidRPr="00E96E04">
        <w:rPr>
          <w:rFonts w:asciiTheme="majorHAnsi" w:hAnsiTheme="majorHAnsi"/>
          <w:sz w:val="24"/>
          <w:szCs w:val="24"/>
        </w:rPr>
        <w:t xml:space="preserve">pplicants are not required to prepare an environmental information document (EID) or Preliminary Engineering Report (PER). </w:t>
      </w:r>
    </w:p>
    <w:p w:rsidR="00E96E04" w:rsidRPr="00E96E04" w:rsidRDefault="00E96E04" w:rsidP="007B66EF">
      <w:pPr>
        <w:pStyle w:val="1"/>
        <w:ind w:firstLine="0"/>
        <w:rPr>
          <w:rFonts w:asciiTheme="majorHAnsi" w:hAnsiTheme="majorHAnsi"/>
          <w:sz w:val="24"/>
          <w:szCs w:val="24"/>
        </w:rPr>
      </w:pPr>
    </w:p>
    <w:p w:rsidR="007B66EF" w:rsidRPr="00E96E04" w:rsidRDefault="00861CF2" w:rsidP="00E96E04">
      <w:pPr>
        <w:rPr>
          <w:rFonts w:asciiTheme="majorHAnsi" w:hAnsiTheme="majorHAnsi"/>
          <w:szCs w:val="24"/>
        </w:rPr>
      </w:pPr>
      <w:r w:rsidRPr="00E96E04">
        <w:rPr>
          <w:rFonts w:asciiTheme="majorHAnsi" w:hAnsiTheme="majorHAnsi"/>
          <w:szCs w:val="24"/>
        </w:rPr>
        <w:t>Project types that qualify for a CE include</w:t>
      </w:r>
      <w:r w:rsidR="008B091B" w:rsidRPr="00E96E04">
        <w:rPr>
          <w:rFonts w:asciiTheme="majorHAnsi" w:hAnsiTheme="majorHAnsi"/>
          <w:b/>
          <w:szCs w:val="24"/>
        </w:rPr>
        <w:t xml:space="preserve"> </w:t>
      </w:r>
      <w:bookmarkStart w:id="0" w:name="qualify"/>
      <w:r w:rsidR="008B091B" w:rsidRPr="00E96E04">
        <w:rPr>
          <w:rFonts w:asciiTheme="majorHAnsi" w:hAnsiTheme="majorHAnsi"/>
          <w:b/>
          <w:szCs w:val="24"/>
        </w:rPr>
        <w:t>(</w:t>
      </w:r>
      <w:r w:rsidR="00333C06">
        <w:rPr>
          <w:rFonts w:asciiTheme="majorHAnsi" w:hAnsiTheme="majorHAnsi"/>
          <w:b/>
          <w:szCs w:val="24"/>
        </w:rPr>
        <w:t xml:space="preserve">LAC </w:t>
      </w:r>
      <w:r w:rsidR="008B091B" w:rsidRPr="00E96E04">
        <w:rPr>
          <w:rFonts w:asciiTheme="majorHAnsi" w:hAnsiTheme="majorHAnsi"/>
          <w:b/>
          <w:kern w:val="2"/>
          <w:szCs w:val="24"/>
        </w:rPr>
        <w:t>Title 33, Part IX</w:t>
      </w:r>
      <w:r w:rsidR="008B091B" w:rsidRPr="00E96E04">
        <w:rPr>
          <w:rFonts w:asciiTheme="majorHAnsi" w:hAnsiTheme="majorHAnsi"/>
          <w:b/>
          <w:szCs w:val="24"/>
        </w:rPr>
        <w:t>, §2125.C.2.c.)</w:t>
      </w:r>
      <w:bookmarkEnd w:id="0"/>
      <w:r w:rsidR="007B66EF" w:rsidRPr="00E96E04">
        <w:rPr>
          <w:rFonts w:asciiTheme="majorHAnsi" w:hAnsiTheme="majorHAnsi"/>
          <w:b/>
          <w:szCs w:val="24"/>
        </w:rPr>
        <w:t>:</w:t>
      </w:r>
    </w:p>
    <w:p w:rsidR="00E96E04" w:rsidRPr="00E96E04" w:rsidRDefault="00E96E04" w:rsidP="00E96E04">
      <w:pPr>
        <w:pStyle w:val="ListParagraph"/>
        <w:rPr>
          <w:rFonts w:asciiTheme="majorHAnsi" w:hAnsiTheme="majorHAnsi"/>
          <w:szCs w:val="24"/>
        </w:rPr>
      </w:pPr>
    </w:p>
    <w:p w:rsidR="007B66EF" w:rsidRPr="00E96E04" w:rsidRDefault="00247629" w:rsidP="00861CF2">
      <w:pPr>
        <w:pStyle w:val="ListParagraph"/>
        <w:numPr>
          <w:ilvl w:val="0"/>
          <w:numId w:val="14"/>
        </w:numPr>
        <w:rPr>
          <w:rFonts w:asciiTheme="majorHAnsi" w:hAnsiTheme="majorHAnsi"/>
          <w:szCs w:val="24"/>
        </w:rPr>
      </w:pPr>
      <w:r w:rsidRPr="00E96E04">
        <w:rPr>
          <w:rFonts w:asciiTheme="majorHAnsi" w:hAnsiTheme="majorHAnsi"/>
          <w:szCs w:val="24"/>
        </w:rPr>
        <w:t xml:space="preserve">routine facility maintenance, repair, </w:t>
      </w:r>
      <w:r w:rsidR="007B66EF" w:rsidRPr="00E96E04">
        <w:rPr>
          <w:rFonts w:asciiTheme="majorHAnsi" w:hAnsiTheme="majorHAnsi"/>
          <w:szCs w:val="24"/>
        </w:rPr>
        <w:t xml:space="preserve">or </w:t>
      </w:r>
      <w:proofErr w:type="spellStart"/>
      <w:r w:rsidRPr="00E96E04">
        <w:rPr>
          <w:rFonts w:asciiTheme="majorHAnsi" w:hAnsiTheme="majorHAnsi"/>
          <w:szCs w:val="24"/>
        </w:rPr>
        <w:t>groundskeeping</w:t>
      </w:r>
      <w:proofErr w:type="spellEnd"/>
      <w:r w:rsidRPr="00E96E04">
        <w:rPr>
          <w:rFonts w:asciiTheme="majorHAnsi" w:hAnsiTheme="majorHAnsi"/>
          <w:szCs w:val="24"/>
        </w:rPr>
        <w:t xml:space="preserve">; </w:t>
      </w:r>
    </w:p>
    <w:p w:rsidR="007B66EF" w:rsidRPr="00E96E04" w:rsidRDefault="00247629" w:rsidP="00861CF2">
      <w:pPr>
        <w:pStyle w:val="ListParagraph"/>
        <w:numPr>
          <w:ilvl w:val="0"/>
          <w:numId w:val="14"/>
        </w:numPr>
        <w:rPr>
          <w:rFonts w:asciiTheme="majorHAnsi" w:hAnsiTheme="majorHAnsi"/>
          <w:szCs w:val="24"/>
        </w:rPr>
      </w:pPr>
      <w:r w:rsidRPr="00E96E04">
        <w:rPr>
          <w:rFonts w:asciiTheme="majorHAnsi" w:hAnsiTheme="majorHAnsi"/>
          <w:szCs w:val="24"/>
        </w:rPr>
        <w:t xml:space="preserve">minor rehabilitation </w:t>
      </w:r>
      <w:r w:rsidR="00861CF2" w:rsidRPr="00E96E04">
        <w:rPr>
          <w:rFonts w:asciiTheme="majorHAnsi" w:hAnsiTheme="majorHAnsi"/>
          <w:szCs w:val="24"/>
        </w:rPr>
        <w:t>or upgrades</w:t>
      </w:r>
      <w:r w:rsidRPr="00E96E04">
        <w:rPr>
          <w:rFonts w:asciiTheme="majorHAnsi" w:hAnsiTheme="majorHAnsi"/>
          <w:szCs w:val="24"/>
        </w:rPr>
        <w:t xml:space="preserve"> of existing facilities; </w:t>
      </w:r>
    </w:p>
    <w:p w:rsidR="007B66EF" w:rsidRPr="00E96E04" w:rsidRDefault="00247629" w:rsidP="00861CF2">
      <w:pPr>
        <w:pStyle w:val="ListParagraph"/>
        <w:numPr>
          <w:ilvl w:val="0"/>
          <w:numId w:val="14"/>
        </w:numPr>
        <w:rPr>
          <w:rFonts w:asciiTheme="majorHAnsi" w:hAnsiTheme="majorHAnsi"/>
          <w:szCs w:val="24"/>
        </w:rPr>
      </w:pPr>
      <w:r w:rsidRPr="00E96E04">
        <w:rPr>
          <w:rFonts w:asciiTheme="majorHAnsi" w:hAnsiTheme="majorHAnsi"/>
          <w:szCs w:val="24"/>
        </w:rPr>
        <w:t xml:space="preserve">replacement </w:t>
      </w:r>
      <w:r w:rsidR="00861CF2" w:rsidRPr="00E96E04">
        <w:rPr>
          <w:rFonts w:asciiTheme="majorHAnsi" w:hAnsiTheme="majorHAnsi"/>
          <w:szCs w:val="24"/>
        </w:rPr>
        <w:t>or</w:t>
      </w:r>
      <w:r w:rsidRPr="00E96E04">
        <w:rPr>
          <w:rFonts w:asciiTheme="majorHAnsi" w:hAnsiTheme="majorHAnsi"/>
          <w:szCs w:val="24"/>
        </w:rPr>
        <w:t xml:space="preserve"> installation of equipment (including equipment needed solely for purposes of emergency preparedness); </w:t>
      </w:r>
    </w:p>
    <w:p w:rsidR="007B66EF" w:rsidRPr="00E96E04" w:rsidRDefault="00247629" w:rsidP="00861CF2">
      <w:pPr>
        <w:pStyle w:val="ListParagraph"/>
        <w:numPr>
          <w:ilvl w:val="0"/>
          <w:numId w:val="14"/>
        </w:numPr>
        <w:rPr>
          <w:rFonts w:asciiTheme="majorHAnsi" w:hAnsiTheme="majorHAnsi"/>
          <w:szCs w:val="24"/>
        </w:rPr>
      </w:pPr>
      <w:r w:rsidRPr="00E96E04">
        <w:rPr>
          <w:rFonts w:asciiTheme="majorHAnsi" w:hAnsiTheme="majorHAnsi"/>
          <w:szCs w:val="24"/>
        </w:rPr>
        <w:t xml:space="preserve">construction of new minor ancillary facilities adjacent to or on the same property as existing facilities; </w:t>
      </w:r>
    </w:p>
    <w:p w:rsidR="00861CF2" w:rsidRPr="00E96E04" w:rsidRDefault="00861CF2" w:rsidP="00861CF2">
      <w:pPr>
        <w:pStyle w:val="ListParagraph"/>
        <w:rPr>
          <w:rFonts w:asciiTheme="majorHAnsi" w:hAnsiTheme="majorHAnsi"/>
          <w:szCs w:val="24"/>
        </w:rPr>
      </w:pPr>
    </w:p>
    <w:p w:rsidR="00E96E04" w:rsidRPr="00E96E04" w:rsidRDefault="00E96E04" w:rsidP="00861CF2">
      <w:pPr>
        <w:pStyle w:val="ListParagraph"/>
        <w:rPr>
          <w:rFonts w:asciiTheme="majorHAnsi" w:hAnsiTheme="majorHAnsi"/>
          <w:szCs w:val="24"/>
        </w:rPr>
      </w:pPr>
    </w:p>
    <w:p w:rsidR="00E96E04" w:rsidRPr="00E96E04" w:rsidRDefault="00861CF2" w:rsidP="00E96E04">
      <w:pPr>
        <w:rPr>
          <w:rFonts w:asciiTheme="majorHAnsi" w:hAnsiTheme="majorHAnsi"/>
          <w:szCs w:val="24"/>
        </w:rPr>
      </w:pPr>
      <w:r w:rsidRPr="00E96E04">
        <w:rPr>
          <w:rFonts w:asciiTheme="majorHAnsi" w:hAnsiTheme="majorHAnsi"/>
          <w:szCs w:val="24"/>
        </w:rPr>
        <w:t>Project</w:t>
      </w:r>
      <w:r w:rsidR="00F0795D" w:rsidRPr="00E96E04">
        <w:rPr>
          <w:rFonts w:asciiTheme="majorHAnsi" w:hAnsiTheme="majorHAnsi"/>
          <w:szCs w:val="24"/>
        </w:rPr>
        <w:t>s</w:t>
      </w:r>
      <w:r w:rsidRPr="00E96E04">
        <w:rPr>
          <w:rFonts w:asciiTheme="majorHAnsi" w:hAnsiTheme="majorHAnsi"/>
          <w:szCs w:val="24"/>
        </w:rPr>
        <w:t xml:space="preserve"> that</w:t>
      </w:r>
      <w:r w:rsidR="00F0795D" w:rsidRPr="00E96E04">
        <w:rPr>
          <w:rFonts w:asciiTheme="majorHAnsi" w:hAnsiTheme="majorHAnsi"/>
          <w:szCs w:val="24"/>
        </w:rPr>
        <w:t xml:space="preserve"> </w:t>
      </w:r>
      <w:r w:rsidRPr="00E96E04">
        <w:rPr>
          <w:rFonts w:asciiTheme="majorHAnsi" w:hAnsiTheme="majorHAnsi"/>
          <w:szCs w:val="24"/>
        </w:rPr>
        <w:t xml:space="preserve">DO NOT qualify for a CE: </w:t>
      </w:r>
    </w:p>
    <w:p w:rsidR="00E96E04" w:rsidRPr="00E96E04" w:rsidRDefault="00E96E04" w:rsidP="008B091B">
      <w:pPr>
        <w:pStyle w:val="ListParagraph"/>
        <w:rPr>
          <w:rFonts w:asciiTheme="majorHAnsi" w:hAnsiTheme="majorHAnsi"/>
          <w:b/>
          <w:szCs w:val="24"/>
        </w:rPr>
      </w:pPr>
    </w:p>
    <w:p w:rsidR="008B091B" w:rsidRPr="00E96E04" w:rsidRDefault="008B091B" w:rsidP="008B091B">
      <w:pPr>
        <w:pStyle w:val="ListParagraph"/>
        <w:rPr>
          <w:rFonts w:asciiTheme="majorHAnsi" w:hAnsiTheme="majorHAnsi"/>
          <w:b/>
          <w:szCs w:val="24"/>
        </w:rPr>
      </w:pPr>
      <w:r w:rsidRPr="00E96E04">
        <w:rPr>
          <w:rFonts w:asciiTheme="majorHAnsi" w:hAnsiTheme="majorHAnsi"/>
          <w:b/>
          <w:szCs w:val="24"/>
        </w:rPr>
        <w:t>(</w:t>
      </w:r>
      <w:r w:rsidR="00333C06">
        <w:rPr>
          <w:rFonts w:asciiTheme="majorHAnsi" w:hAnsiTheme="majorHAnsi"/>
          <w:b/>
          <w:szCs w:val="24"/>
        </w:rPr>
        <w:t xml:space="preserve">LAC </w:t>
      </w:r>
      <w:r w:rsidRPr="00E96E04">
        <w:rPr>
          <w:rFonts w:asciiTheme="majorHAnsi" w:hAnsiTheme="majorHAnsi"/>
          <w:b/>
          <w:kern w:val="2"/>
          <w:szCs w:val="24"/>
        </w:rPr>
        <w:t>Title 33, Part IX</w:t>
      </w:r>
      <w:r w:rsidRPr="00E96E04">
        <w:rPr>
          <w:rFonts w:asciiTheme="majorHAnsi" w:hAnsiTheme="majorHAnsi"/>
          <w:b/>
          <w:szCs w:val="24"/>
        </w:rPr>
        <w:t>, §2125.C.2.c.ii</w:t>
      </w:r>
      <w:proofErr w:type="gramStart"/>
      <w:r w:rsidRPr="00E96E04">
        <w:rPr>
          <w:rFonts w:asciiTheme="majorHAnsi" w:hAnsiTheme="majorHAnsi"/>
          <w:b/>
          <w:szCs w:val="24"/>
        </w:rPr>
        <w:t>.(</w:t>
      </w:r>
      <w:proofErr w:type="gramEnd"/>
      <w:r w:rsidRPr="00E96E04">
        <w:rPr>
          <w:rFonts w:asciiTheme="majorHAnsi" w:hAnsiTheme="majorHAnsi"/>
          <w:b/>
          <w:szCs w:val="24"/>
        </w:rPr>
        <w:t>a)-(e))</w:t>
      </w:r>
    </w:p>
    <w:p w:rsidR="00F0795D" w:rsidRPr="00E96E04" w:rsidRDefault="00F0795D" w:rsidP="00F0795D">
      <w:pPr>
        <w:pStyle w:val="ListParagraph"/>
        <w:numPr>
          <w:ilvl w:val="0"/>
          <w:numId w:val="17"/>
        </w:numPr>
        <w:rPr>
          <w:rFonts w:asciiTheme="majorHAnsi" w:hAnsiTheme="majorHAnsi"/>
          <w:szCs w:val="24"/>
        </w:rPr>
      </w:pPr>
      <w:r w:rsidRPr="00E96E04">
        <w:rPr>
          <w:rFonts w:asciiTheme="majorHAnsi" w:hAnsiTheme="majorHAnsi"/>
          <w:szCs w:val="24"/>
        </w:rPr>
        <w:t xml:space="preserve">involve new or relocated discharges to surface or ground water; </w:t>
      </w:r>
    </w:p>
    <w:p w:rsidR="00F0795D" w:rsidRPr="00E96E04" w:rsidRDefault="00F0795D" w:rsidP="00F0795D">
      <w:pPr>
        <w:pStyle w:val="ListParagraph"/>
        <w:numPr>
          <w:ilvl w:val="0"/>
          <w:numId w:val="17"/>
        </w:numPr>
        <w:rPr>
          <w:rFonts w:asciiTheme="majorHAnsi" w:hAnsiTheme="majorHAnsi"/>
          <w:szCs w:val="24"/>
        </w:rPr>
      </w:pPr>
      <w:r w:rsidRPr="00E96E04">
        <w:rPr>
          <w:rFonts w:asciiTheme="majorHAnsi" w:hAnsiTheme="majorHAnsi"/>
          <w:szCs w:val="24"/>
        </w:rPr>
        <w:t xml:space="preserve">result in the substantial increase in the volume or the loading of pollutant to the receiving water; </w:t>
      </w:r>
    </w:p>
    <w:p w:rsidR="00F0795D" w:rsidRPr="00E96E04" w:rsidRDefault="00F0795D" w:rsidP="00F0795D">
      <w:pPr>
        <w:pStyle w:val="ListParagraph"/>
        <w:numPr>
          <w:ilvl w:val="0"/>
          <w:numId w:val="17"/>
        </w:numPr>
        <w:rPr>
          <w:rFonts w:asciiTheme="majorHAnsi" w:hAnsiTheme="majorHAnsi"/>
          <w:szCs w:val="24"/>
        </w:rPr>
      </w:pPr>
      <w:r w:rsidRPr="00E96E04">
        <w:rPr>
          <w:rFonts w:asciiTheme="majorHAnsi" w:hAnsiTheme="majorHAnsi"/>
          <w:szCs w:val="24"/>
        </w:rPr>
        <w:t xml:space="preserve">provide capacity to serve a population 30 percent greater than the existing population; </w:t>
      </w:r>
    </w:p>
    <w:p w:rsidR="00F0795D" w:rsidRPr="00E96E04" w:rsidRDefault="00F0795D" w:rsidP="00F0795D">
      <w:pPr>
        <w:pStyle w:val="ListParagraph"/>
        <w:numPr>
          <w:ilvl w:val="0"/>
          <w:numId w:val="17"/>
        </w:numPr>
        <w:rPr>
          <w:rFonts w:asciiTheme="majorHAnsi" w:hAnsiTheme="majorHAnsi"/>
          <w:szCs w:val="24"/>
        </w:rPr>
      </w:pPr>
      <w:r w:rsidRPr="00E96E04">
        <w:rPr>
          <w:rFonts w:asciiTheme="majorHAnsi" w:hAnsiTheme="majorHAnsi"/>
          <w:szCs w:val="24"/>
        </w:rPr>
        <w:t>are not supported by the state, other regional growth plan, or strategy; or</w:t>
      </w:r>
    </w:p>
    <w:p w:rsidR="00767A16" w:rsidRPr="00E96E04" w:rsidRDefault="00F0795D" w:rsidP="00E96E04">
      <w:pPr>
        <w:pStyle w:val="ListParagraph"/>
        <w:numPr>
          <w:ilvl w:val="0"/>
          <w:numId w:val="15"/>
        </w:numPr>
        <w:rPr>
          <w:rFonts w:asciiTheme="majorHAnsi" w:hAnsiTheme="majorHAnsi"/>
          <w:szCs w:val="24"/>
        </w:rPr>
      </w:pPr>
      <w:r w:rsidRPr="00E96E04">
        <w:rPr>
          <w:rFonts w:asciiTheme="majorHAnsi" w:hAnsiTheme="majorHAnsi"/>
          <w:szCs w:val="24"/>
        </w:rPr>
        <w:t>involve upgrading or extending infrastructure systems primarily for the purposes of future development;</w:t>
      </w:r>
    </w:p>
    <w:p w:rsidR="00E96E04" w:rsidRPr="00E96E04" w:rsidRDefault="00E96E04" w:rsidP="008B091B">
      <w:pPr>
        <w:pStyle w:val="ListParagraph"/>
        <w:rPr>
          <w:rFonts w:asciiTheme="majorHAnsi" w:hAnsiTheme="majorHAnsi"/>
          <w:b/>
          <w:kern w:val="2"/>
          <w:szCs w:val="24"/>
        </w:rPr>
      </w:pPr>
    </w:p>
    <w:p w:rsidR="008B091B" w:rsidRPr="00E96E04" w:rsidRDefault="008B091B" w:rsidP="008B091B">
      <w:pPr>
        <w:pStyle w:val="ListParagraph"/>
        <w:rPr>
          <w:rFonts w:asciiTheme="majorHAnsi" w:hAnsiTheme="majorHAnsi"/>
          <w:b/>
          <w:szCs w:val="24"/>
        </w:rPr>
      </w:pPr>
      <w:bookmarkStart w:id="1" w:name="nonqualified"/>
      <w:proofErr w:type="gramStart"/>
      <w:r w:rsidRPr="00E96E04">
        <w:rPr>
          <w:rFonts w:asciiTheme="majorHAnsi" w:hAnsiTheme="majorHAnsi"/>
          <w:b/>
          <w:kern w:val="2"/>
          <w:szCs w:val="24"/>
        </w:rPr>
        <w:t>(</w:t>
      </w:r>
      <w:r w:rsidR="00333C06">
        <w:rPr>
          <w:rFonts w:asciiTheme="majorHAnsi" w:hAnsiTheme="majorHAnsi"/>
          <w:b/>
          <w:kern w:val="2"/>
          <w:szCs w:val="24"/>
        </w:rPr>
        <w:t xml:space="preserve">LAC </w:t>
      </w:r>
      <w:r w:rsidRPr="00E96E04">
        <w:rPr>
          <w:rFonts w:asciiTheme="majorHAnsi" w:hAnsiTheme="majorHAnsi"/>
          <w:b/>
          <w:kern w:val="2"/>
          <w:szCs w:val="24"/>
        </w:rPr>
        <w:t>Title 33, Part IX</w:t>
      </w:r>
      <w:r w:rsidRPr="00E96E04">
        <w:rPr>
          <w:rFonts w:asciiTheme="majorHAnsi" w:hAnsiTheme="majorHAnsi"/>
          <w:b/>
          <w:szCs w:val="24"/>
        </w:rPr>
        <w:t>, §2125.C.2.d.)</w:t>
      </w:r>
      <w:bookmarkEnd w:id="1"/>
      <w:proofErr w:type="gramEnd"/>
    </w:p>
    <w:p w:rsidR="00861CF2" w:rsidRPr="00E96E04" w:rsidRDefault="007B66EF" w:rsidP="00861CF2">
      <w:pPr>
        <w:pStyle w:val="ListParagraph"/>
        <w:numPr>
          <w:ilvl w:val="0"/>
          <w:numId w:val="15"/>
        </w:numPr>
        <w:rPr>
          <w:rFonts w:asciiTheme="majorHAnsi" w:hAnsiTheme="majorHAnsi"/>
          <w:szCs w:val="24"/>
        </w:rPr>
      </w:pPr>
      <w:r w:rsidRPr="00E96E04">
        <w:rPr>
          <w:rFonts w:asciiTheme="majorHAnsi" w:hAnsiTheme="majorHAnsi"/>
          <w:szCs w:val="24"/>
        </w:rPr>
        <w:t xml:space="preserve">have potentially significant environmental impacts on the quality of the human environment either individually or cumulatively over time; </w:t>
      </w:r>
    </w:p>
    <w:p w:rsidR="007B66EF" w:rsidRPr="00E96E04" w:rsidRDefault="007B66EF" w:rsidP="00861CF2">
      <w:pPr>
        <w:pStyle w:val="ListParagraph"/>
        <w:numPr>
          <w:ilvl w:val="0"/>
          <w:numId w:val="15"/>
        </w:numPr>
        <w:rPr>
          <w:rFonts w:asciiTheme="majorHAnsi" w:hAnsiTheme="majorHAnsi"/>
          <w:szCs w:val="24"/>
        </w:rPr>
      </w:pPr>
      <w:r w:rsidRPr="00E96E04">
        <w:rPr>
          <w:rFonts w:asciiTheme="majorHAnsi" w:hAnsiTheme="majorHAnsi"/>
          <w:szCs w:val="24"/>
        </w:rPr>
        <w:t xml:space="preserve">have disproportionately high and adverse human health or environmental effects on any community including minority communities, low income communities, or federally-recognized Native American tribal communities; </w:t>
      </w:r>
    </w:p>
    <w:p w:rsidR="007B66EF" w:rsidRPr="00E96E04" w:rsidRDefault="007B66EF" w:rsidP="00861CF2">
      <w:pPr>
        <w:pStyle w:val="ListParagraph"/>
        <w:numPr>
          <w:ilvl w:val="0"/>
          <w:numId w:val="15"/>
        </w:numPr>
        <w:rPr>
          <w:rFonts w:asciiTheme="majorHAnsi" w:hAnsiTheme="majorHAnsi"/>
          <w:szCs w:val="24"/>
        </w:rPr>
      </w:pPr>
      <w:r w:rsidRPr="00E96E04">
        <w:rPr>
          <w:rFonts w:asciiTheme="majorHAnsi" w:hAnsiTheme="majorHAnsi"/>
          <w:szCs w:val="24"/>
        </w:rPr>
        <w:t>significantly affect federally listed, threatened, endangered species, or their critical habitat;</w:t>
      </w:r>
    </w:p>
    <w:p w:rsidR="007B66EF" w:rsidRPr="00E96E04" w:rsidRDefault="007B66EF" w:rsidP="00861CF2">
      <w:pPr>
        <w:pStyle w:val="ListParagraph"/>
        <w:numPr>
          <w:ilvl w:val="0"/>
          <w:numId w:val="15"/>
        </w:numPr>
        <w:rPr>
          <w:rFonts w:asciiTheme="majorHAnsi" w:hAnsiTheme="majorHAnsi"/>
          <w:szCs w:val="24"/>
        </w:rPr>
      </w:pPr>
      <w:r w:rsidRPr="00E96E04">
        <w:rPr>
          <w:rFonts w:asciiTheme="majorHAnsi" w:hAnsiTheme="majorHAnsi"/>
          <w:szCs w:val="24"/>
        </w:rPr>
        <w:t xml:space="preserve">significantly affect national natural landmarks or any property with nationally significant architectural, historic, prehistoric, archeological, or cultural value, </w:t>
      </w:r>
      <w:r w:rsidRPr="00E96E04">
        <w:rPr>
          <w:rFonts w:asciiTheme="majorHAnsi" w:hAnsiTheme="majorHAnsi"/>
          <w:szCs w:val="24"/>
        </w:rPr>
        <w:lastRenderedPageBreak/>
        <w:t xml:space="preserve">including but not limited to, property listed on or eligible for the National Register of Historic Places; </w:t>
      </w:r>
    </w:p>
    <w:p w:rsidR="007B66EF" w:rsidRPr="00E96E04" w:rsidRDefault="007B66EF" w:rsidP="00861CF2">
      <w:pPr>
        <w:pStyle w:val="ListParagraph"/>
        <w:numPr>
          <w:ilvl w:val="0"/>
          <w:numId w:val="15"/>
        </w:numPr>
        <w:rPr>
          <w:rFonts w:asciiTheme="majorHAnsi" w:hAnsiTheme="majorHAnsi"/>
          <w:szCs w:val="24"/>
        </w:rPr>
      </w:pPr>
      <w:r w:rsidRPr="00E96E04">
        <w:rPr>
          <w:rFonts w:asciiTheme="majorHAnsi" w:hAnsiTheme="majorHAnsi"/>
          <w:szCs w:val="24"/>
        </w:rPr>
        <w:t xml:space="preserve">significantly affect environmentally important natural resource areas such as wetlands, floodplains, significant agricultural lands, aquifer recharge zones, coastal zones, barrier islands, wild and scenic rivers, and significant fish or wildlife habitat; </w:t>
      </w:r>
    </w:p>
    <w:p w:rsidR="007B66EF" w:rsidRPr="00E96E04" w:rsidRDefault="007B66EF" w:rsidP="00861CF2">
      <w:pPr>
        <w:pStyle w:val="ListParagraph"/>
        <w:numPr>
          <w:ilvl w:val="0"/>
          <w:numId w:val="15"/>
        </w:numPr>
        <w:rPr>
          <w:rFonts w:asciiTheme="majorHAnsi" w:hAnsiTheme="majorHAnsi"/>
          <w:szCs w:val="24"/>
        </w:rPr>
      </w:pPr>
      <w:r w:rsidRPr="00E96E04">
        <w:rPr>
          <w:rFonts w:asciiTheme="majorHAnsi" w:hAnsiTheme="majorHAnsi"/>
          <w:szCs w:val="24"/>
        </w:rPr>
        <w:t xml:space="preserve">cause significant adverse air quality effects; </w:t>
      </w:r>
    </w:p>
    <w:p w:rsidR="007B66EF" w:rsidRPr="00E96E04" w:rsidRDefault="007B66EF" w:rsidP="00861CF2">
      <w:pPr>
        <w:pStyle w:val="ListParagraph"/>
        <w:numPr>
          <w:ilvl w:val="0"/>
          <w:numId w:val="15"/>
        </w:numPr>
        <w:rPr>
          <w:rFonts w:asciiTheme="majorHAnsi" w:hAnsiTheme="majorHAnsi"/>
          <w:szCs w:val="24"/>
        </w:rPr>
      </w:pPr>
      <w:r w:rsidRPr="00E96E04">
        <w:rPr>
          <w:rFonts w:asciiTheme="majorHAnsi" w:hAnsiTheme="majorHAnsi"/>
          <w:szCs w:val="24"/>
        </w:rPr>
        <w:t xml:space="preserve">have a significant effect on the pattern, type of land use (i.e., industrial, commercial, agricultural, recreational, or residential), growth and distribution of population including altering the character of existing residential areas, or not consistent with state government, local government, or federally-recognized Native American tribe approved land use plans, or federal land management plans; </w:t>
      </w:r>
    </w:p>
    <w:p w:rsidR="007B66EF" w:rsidRPr="00E96E04" w:rsidRDefault="007B66EF" w:rsidP="00861CF2">
      <w:pPr>
        <w:pStyle w:val="ListParagraph"/>
        <w:numPr>
          <w:ilvl w:val="0"/>
          <w:numId w:val="15"/>
        </w:numPr>
        <w:rPr>
          <w:rFonts w:asciiTheme="majorHAnsi" w:hAnsiTheme="majorHAnsi"/>
          <w:szCs w:val="24"/>
        </w:rPr>
      </w:pPr>
      <w:r w:rsidRPr="00E96E04">
        <w:rPr>
          <w:rFonts w:asciiTheme="majorHAnsi" w:hAnsiTheme="majorHAnsi"/>
          <w:szCs w:val="24"/>
        </w:rPr>
        <w:t xml:space="preserve">cause significant public controversy about a potential environmental impact of the proposed project; and </w:t>
      </w:r>
    </w:p>
    <w:p w:rsidR="007B66EF" w:rsidRPr="00E96E04" w:rsidRDefault="007B66EF" w:rsidP="00861CF2">
      <w:pPr>
        <w:pStyle w:val="ListParagraph"/>
        <w:numPr>
          <w:ilvl w:val="0"/>
          <w:numId w:val="15"/>
        </w:numPr>
        <w:rPr>
          <w:rFonts w:asciiTheme="majorHAnsi" w:hAnsiTheme="majorHAnsi"/>
          <w:szCs w:val="24"/>
        </w:rPr>
      </w:pPr>
      <w:proofErr w:type="gramStart"/>
      <w:r w:rsidRPr="00E96E04">
        <w:rPr>
          <w:rFonts w:asciiTheme="majorHAnsi" w:hAnsiTheme="majorHAnsi"/>
          <w:szCs w:val="24"/>
        </w:rPr>
        <w:t>conflict</w:t>
      </w:r>
      <w:proofErr w:type="gramEnd"/>
      <w:r w:rsidRPr="00E96E04">
        <w:rPr>
          <w:rFonts w:asciiTheme="majorHAnsi" w:hAnsiTheme="majorHAnsi"/>
          <w:szCs w:val="24"/>
        </w:rPr>
        <w:t xml:space="preserve"> with federal, state, local government, federally-recognized Native American tribe, federal environmental, resource protection, or land use laws or regulations. </w:t>
      </w:r>
    </w:p>
    <w:p w:rsidR="007B66EF" w:rsidRPr="00E96E04" w:rsidRDefault="007B66EF" w:rsidP="007B66EF">
      <w:pPr>
        <w:pStyle w:val="1"/>
        <w:rPr>
          <w:rFonts w:asciiTheme="majorHAnsi" w:hAnsiTheme="majorHAnsi"/>
          <w:sz w:val="24"/>
          <w:szCs w:val="24"/>
        </w:rPr>
      </w:pPr>
    </w:p>
    <w:p w:rsidR="00907245" w:rsidRPr="00E96E04" w:rsidRDefault="00070A48" w:rsidP="00E96E04">
      <w:pPr>
        <w:pStyle w:val="1"/>
        <w:tabs>
          <w:tab w:val="clear" w:pos="720"/>
          <w:tab w:val="clear" w:pos="979"/>
          <w:tab w:val="clear" w:pos="1152"/>
          <w:tab w:val="clear" w:pos="4500"/>
          <w:tab w:val="clear" w:pos="4680"/>
          <w:tab w:val="clear" w:pos="4860"/>
          <w:tab w:val="clear" w:pos="5040"/>
          <w:tab w:val="clear" w:pos="7200"/>
          <w:tab w:val="left" w:pos="450"/>
        </w:tabs>
        <w:ind w:firstLine="0"/>
        <w:jc w:val="left"/>
        <w:rPr>
          <w:rFonts w:asciiTheme="majorHAnsi" w:hAnsiTheme="majorHAnsi"/>
          <w:sz w:val="24"/>
          <w:szCs w:val="24"/>
        </w:rPr>
      </w:pPr>
      <w:r w:rsidRPr="00070A48">
        <w:rPr>
          <w:rFonts w:asciiTheme="majorHAnsi" w:hAnsiTheme="majorHAnsi"/>
          <w:b/>
          <w:sz w:val="24"/>
          <w:szCs w:val="24"/>
          <w:u w:val="single"/>
        </w:rPr>
        <w:t>Applicants seeking a CE</w:t>
      </w:r>
      <w:r w:rsidRPr="00070A48">
        <w:rPr>
          <w:rFonts w:asciiTheme="majorHAnsi" w:hAnsiTheme="majorHAnsi"/>
          <w:sz w:val="24"/>
          <w:szCs w:val="24"/>
        </w:rPr>
        <w:t xml:space="preserve"> shall provide the department with sufficient documentation to demonstrate compliance with the criteria listed under </w:t>
      </w:r>
      <w:bookmarkStart w:id="2" w:name="_GoBack"/>
      <w:bookmarkEnd w:id="2"/>
      <w:r w:rsidR="00333C06">
        <w:fldChar w:fldCharType="begin"/>
      </w:r>
      <w:r w:rsidR="00333C06">
        <w:instrText xml:space="preserve"> HYPERLINK \l "qualify" </w:instrText>
      </w:r>
      <w:r w:rsidR="00333C06">
        <w:fldChar w:fldCharType="separate"/>
      </w:r>
      <w:r w:rsidRPr="00692C17">
        <w:rPr>
          <w:rStyle w:val="Hyperlink"/>
          <w:rFonts w:asciiTheme="majorHAnsi" w:hAnsiTheme="majorHAnsi"/>
          <w:b/>
          <w:sz w:val="24"/>
          <w:szCs w:val="24"/>
        </w:rPr>
        <w:t>Title 33, Part IX, §2125.C.2.c. (see above)</w:t>
      </w:r>
      <w:r w:rsidR="00333C06">
        <w:rPr>
          <w:rStyle w:val="Hyperlink"/>
          <w:rFonts w:asciiTheme="majorHAnsi" w:hAnsiTheme="majorHAnsi"/>
          <w:b/>
          <w:sz w:val="24"/>
          <w:szCs w:val="24"/>
        </w:rPr>
        <w:fldChar w:fldCharType="end"/>
      </w:r>
      <w:r w:rsidRPr="00070A48">
        <w:rPr>
          <w:rFonts w:asciiTheme="majorHAnsi" w:hAnsiTheme="majorHAnsi"/>
          <w:sz w:val="24"/>
          <w:szCs w:val="24"/>
        </w:rPr>
        <w:t xml:space="preserve">. </w:t>
      </w:r>
      <w:r>
        <w:rPr>
          <w:rFonts w:asciiTheme="majorHAnsi" w:hAnsiTheme="majorHAnsi"/>
          <w:sz w:val="24"/>
          <w:szCs w:val="24"/>
        </w:rPr>
        <w:t>Additional information may be requested including</w:t>
      </w:r>
      <w:r w:rsidR="00767A16" w:rsidRPr="00E96E04">
        <w:rPr>
          <w:rFonts w:asciiTheme="majorHAnsi" w:hAnsiTheme="majorHAnsi"/>
          <w:sz w:val="24"/>
          <w:szCs w:val="24"/>
        </w:rPr>
        <w:t>:</w:t>
      </w:r>
    </w:p>
    <w:p w:rsidR="00907245" w:rsidRPr="00E96E04" w:rsidRDefault="00907245" w:rsidP="007B66EF">
      <w:pPr>
        <w:pStyle w:val="i"/>
        <w:numPr>
          <w:ilvl w:val="0"/>
          <w:numId w:val="12"/>
        </w:numPr>
        <w:rPr>
          <w:rFonts w:asciiTheme="majorHAnsi" w:hAnsiTheme="majorHAnsi"/>
          <w:sz w:val="24"/>
          <w:szCs w:val="24"/>
        </w:rPr>
      </w:pPr>
      <w:r w:rsidRPr="00E96E04">
        <w:rPr>
          <w:rFonts w:asciiTheme="majorHAnsi" w:hAnsiTheme="majorHAnsi"/>
          <w:sz w:val="24"/>
          <w:szCs w:val="24"/>
        </w:rPr>
        <w:t>a brief description of the proposed project, including maps and drawings;</w:t>
      </w:r>
    </w:p>
    <w:p w:rsidR="00907245" w:rsidRPr="00E96E04" w:rsidRDefault="00907245" w:rsidP="007B66EF">
      <w:pPr>
        <w:pStyle w:val="i"/>
        <w:numPr>
          <w:ilvl w:val="0"/>
          <w:numId w:val="12"/>
        </w:numPr>
        <w:rPr>
          <w:rFonts w:asciiTheme="majorHAnsi" w:hAnsiTheme="majorHAnsi"/>
          <w:sz w:val="24"/>
          <w:szCs w:val="24"/>
        </w:rPr>
      </w:pPr>
      <w:r w:rsidRPr="00E96E04">
        <w:rPr>
          <w:rFonts w:asciiTheme="majorHAnsi" w:hAnsiTheme="majorHAnsi"/>
          <w:sz w:val="24"/>
          <w:szCs w:val="24"/>
        </w:rPr>
        <w:t>a brief description of the no action alternative;</w:t>
      </w:r>
    </w:p>
    <w:p w:rsidR="00767A16" w:rsidRPr="00E96E04" w:rsidRDefault="00767A16" w:rsidP="00E96E04">
      <w:pPr>
        <w:pStyle w:val="i"/>
        <w:numPr>
          <w:ilvl w:val="0"/>
          <w:numId w:val="12"/>
        </w:numPr>
        <w:ind w:left="1080" w:hanging="360"/>
        <w:rPr>
          <w:rFonts w:asciiTheme="majorHAnsi" w:hAnsiTheme="majorHAnsi"/>
          <w:sz w:val="24"/>
          <w:szCs w:val="24"/>
        </w:rPr>
      </w:pPr>
      <w:r w:rsidRPr="00E96E04">
        <w:rPr>
          <w:rFonts w:asciiTheme="majorHAnsi" w:hAnsiTheme="majorHAnsi"/>
          <w:sz w:val="24"/>
          <w:szCs w:val="24"/>
        </w:rPr>
        <w:t xml:space="preserve">a statement specifying the department-identified CE, as listed in </w:t>
      </w:r>
      <w:hyperlink w:anchor="qualify" w:history="1">
        <w:r w:rsidRPr="00B938CA">
          <w:rPr>
            <w:rStyle w:val="Hyperlink"/>
            <w:rFonts w:asciiTheme="majorHAnsi" w:hAnsiTheme="majorHAnsi"/>
            <w:b/>
            <w:sz w:val="24"/>
            <w:szCs w:val="24"/>
          </w:rPr>
          <w:t>Title 33, Part IX, §2125.C.2.c. (see above)</w:t>
        </w:r>
      </w:hyperlink>
      <w:r w:rsidRPr="00E96E04">
        <w:rPr>
          <w:rFonts w:asciiTheme="majorHAnsi" w:hAnsiTheme="majorHAnsi"/>
          <w:sz w:val="24"/>
          <w:szCs w:val="24"/>
        </w:rPr>
        <w:t xml:space="preserve"> which applies to the proposed project; and</w:t>
      </w:r>
    </w:p>
    <w:p w:rsidR="00767A16" w:rsidRPr="00E96E04" w:rsidRDefault="00767A16" w:rsidP="00E96E04">
      <w:pPr>
        <w:pStyle w:val="i"/>
        <w:numPr>
          <w:ilvl w:val="0"/>
          <w:numId w:val="12"/>
        </w:numPr>
        <w:tabs>
          <w:tab w:val="left" w:pos="810"/>
        </w:tabs>
        <w:ind w:left="1080" w:hanging="360"/>
        <w:rPr>
          <w:rFonts w:asciiTheme="majorHAnsi" w:hAnsiTheme="majorHAnsi"/>
          <w:sz w:val="24"/>
          <w:szCs w:val="24"/>
        </w:rPr>
      </w:pPr>
      <w:proofErr w:type="gramStart"/>
      <w:r w:rsidRPr="00E96E04">
        <w:rPr>
          <w:rFonts w:asciiTheme="majorHAnsi" w:hAnsiTheme="majorHAnsi"/>
          <w:sz w:val="24"/>
          <w:szCs w:val="24"/>
        </w:rPr>
        <w:t>a</w:t>
      </w:r>
      <w:proofErr w:type="gramEnd"/>
      <w:r w:rsidRPr="00E96E04">
        <w:rPr>
          <w:rFonts w:asciiTheme="majorHAnsi" w:hAnsiTheme="majorHAnsi"/>
          <w:sz w:val="24"/>
          <w:szCs w:val="24"/>
        </w:rPr>
        <w:t xml:space="preserve"> statement that no extraordinary circumstances, as identified in</w:t>
      </w:r>
      <w:r w:rsidR="00B938CA">
        <w:rPr>
          <w:rFonts w:asciiTheme="majorHAnsi" w:hAnsiTheme="majorHAnsi"/>
          <w:sz w:val="24"/>
          <w:szCs w:val="24"/>
        </w:rPr>
        <w:t xml:space="preserve"> </w:t>
      </w:r>
      <w:hyperlink w:anchor="nonqualified" w:history="1">
        <w:r w:rsidR="00B938CA">
          <w:rPr>
            <w:rStyle w:val="Hyperlink"/>
            <w:rFonts w:asciiTheme="majorHAnsi" w:hAnsiTheme="majorHAnsi"/>
            <w:b/>
            <w:sz w:val="24"/>
            <w:szCs w:val="24"/>
          </w:rPr>
          <w:t>Title 33, Part IX, §2125.C.2.d. (see above)</w:t>
        </w:r>
      </w:hyperlink>
      <w:r w:rsidRPr="00E96E04">
        <w:rPr>
          <w:rFonts w:asciiTheme="majorHAnsi" w:hAnsiTheme="majorHAnsi"/>
          <w:sz w:val="24"/>
          <w:szCs w:val="24"/>
        </w:rPr>
        <w:t>, apply to the proposed project.</w:t>
      </w:r>
    </w:p>
    <w:p w:rsidR="00907245" w:rsidRPr="00E96E04" w:rsidRDefault="00907245" w:rsidP="00247629">
      <w:pPr>
        <w:pStyle w:val="a"/>
        <w:rPr>
          <w:rFonts w:asciiTheme="majorHAnsi" w:hAnsiTheme="majorHAnsi"/>
          <w:sz w:val="24"/>
          <w:szCs w:val="24"/>
        </w:rPr>
      </w:pPr>
    </w:p>
    <w:p w:rsidR="009B57FD" w:rsidRPr="00E96E04" w:rsidRDefault="00254501">
      <w:pPr>
        <w:rPr>
          <w:rFonts w:asciiTheme="majorHAnsi" w:hAnsiTheme="majorHAnsi"/>
          <w:sz w:val="22"/>
        </w:rPr>
      </w:pPr>
      <w:r>
        <w:rPr>
          <w:rFonts w:asciiTheme="majorHAnsi" w:hAnsiTheme="majorHAnsi"/>
          <w:sz w:val="22"/>
        </w:rPr>
        <w:t>I</w:t>
      </w:r>
      <w:r w:rsidR="00EB59C2">
        <w:rPr>
          <w:rFonts w:asciiTheme="majorHAnsi" w:hAnsiTheme="majorHAnsi"/>
          <w:sz w:val="22"/>
        </w:rPr>
        <w:t xml:space="preserve">n accordance with </w:t>
      </w:r>
      <w:hyperlink r:id="rId9" w:history="1">
        <w:r>
          <w:rPr>
            <w:rStyle w:val="Hyperlink"/>
            <w:rFonts w:asciiTheme="majorHAnsi" w:hAnsiTheme="majorHAnsi"/>
            <w:b/>
            <w:sz w:val="22"/>
          </w:rPr>
          <w:t>40 CFR 35.3</w:t>
        </w:r>
        <w:r w:rsidR="00EB59C2" w:rsidRPr="00EB59C2">
          <w:rPr>
            <w:rStyle w:val="Hyperlink"/>
            <w:rFonts w:asciiTheme="majorHAnsi" w:hAnsiTheme="majorHAnsi"/>
            <w:b/>
            <w:sz w:val="22"/>
          </w:rPr>
          <w:t>140(b</w:t>
        </w:r>
        <w:proofErr w:type="gramStart"/>
        <w:r w:rsidR="00EB59C2" w:rsidRPr="00EB59C2">
          <w:rPr>
            <w:rStyle w:val="Hyperlink"/>
            <w:rFonts w:asciiTheme="majorHAnsi" w:hAnsiTheme="majorHAnsi"/>
            <w:b/>
            <w:sz w:val="22"/>
          </w:rPr>
          <w:t>)(</w:t>
        </w:r>
        <w:proofErr w:type="gramEnd"/>
        <w:r w:rsidR="00EB59C2" w:rsidRPr="00EB59C2">
          <w:rPr>
            <w:rStyle w:val="Hyperlink"/>
            <w:rFonts w:asciiTheme="majorHAnsi" w:hAnsiTheme="majorHAnsi"/>
            <w:b/>
            <w:sz w:val="22"/>
          </w:rPr>
          <w:t>4)</w:t>
        </w:r>
      </w:hyperlink>
      <w:r w:rsidR="00EB59C2">
        <w:rPr>
          <w:rFonts w:asciiTheme="majorHAnsi" w:hAnsiTheme="majorHAnsi"/>
          <w:sz w:val="22"/>
        </w:rPr>
        <w:t>, LDEQ will provide public notice when a CE is issued.</w:t>
      </w:r>
    </w:p>
    <w:sectPr w:rsidR="009B57FD" w:rsidRPr="00E96E04" w:rsidSect="00CB5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29" w:rsidRDefault="00247629" w:rsidP="00247629">
      <w:pPr>
        <w:spacing w:line="240" w:lineRule="auto"/>
      </w:pPr>
      <w:r>
        <w:separator/>
      </w:r>
    </w:p>
  </w:endnote>
  <w:endnote w:type="continuationSeparator" w:id="0">
    <w:p w:rsidR="00247629" w:rsidRDefault="00247629" w:rsidP="0024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29" w:rsidRDefault="00247629" w:rsidP="00247629">
      <w:pPr>
        <w:spacing w:line="240" w:lineRule="auto"/>
      </w:pPr>
      <w:r>
        <w:separator/>
      </w:r>
    </w:p>
  </w:footnote>
  <w:footnote w:type="continuationSeparator" w:id="0">
    <w:p w:rsidR="00247629" w:rsidRDefault="00247629" w:rsidP="002476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6E6"/>
    <w:multiLevelType w:val="hybridMultilevel"/>
    <w:tmpl w:val="B0540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C26D72"/>
    <w:multiLevelType w:val="hybridMultilevel"/>
    <w:tmpl w:val="E908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246A2"/>
    <w:multiLevelType w:val="hybridMultilevel"/>
    <w:tmpl w:val="0BCAB68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187210ED"/>
    <w:multiLevelType w:val="hybridMultilevel"/>
    <w:tmpl w:val="1682D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91DFE"/>
    <w:multiLevelType w:val="multilevel"/>
    <w:tmpl w:val="00982DF4"/>
    <w:lvl w:ilvl="0">
      <w:start w:val="1"/>
      <w:numFmt w:val="lowerLetter"/>
      <w:lvlText w:val="%1."/>
      <w:lvlJc w:val="left"/>
      <w:pPr>
        <w:tabs>
          <w:tab w:val="num" w:pos="1447"/>
        </w:tabs>
        <w:ind w:left="1447" w:hanging="900"/>
      </w:pPr>
      <w:rPr>
        <w:rFonts w:hint="default"/>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5">
    <w:nsid w:val="2490643C"/>
    <w:multiLevelType w:val="hybridMultilevel"/>
    <w:tmpl w:val="40B829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030495"/>
    <w:multiLevelType w:val="hybridMultilevel"/>
    <w:tmpl w:val="DBE2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66E38"/>
    <w:multiLevelType w:val="hybridMultilevel"/>
    <w:tmpl w:val="DD8AAA96"/>
    <w:lvl w:ilvl="0" w:tplc="9C40B9A8">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34C11665"/>
    <w:multiLevelType w:val="hybridMultilevel"/>
    <w:tmpl w:val="861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23E57"/>
    <w:multiLevelType w:val="hybridMultilevel"/>
    <w:tmpl w:val="BCFA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15F9"/>
    <w:multiLevelType w:val="hybridMultilevel"/>
    <w:tmpl w:val="53E6FF50"/>
    <w:lvl w:ilvl="0" w:tplc="9C40B9A8">
      <w:start w:val="1"/>
      <w:numFmt w:val="lowerRoman"/>
      <w:lvlText w:val="%1."/>
      <w:lvlJc w:val="left"/>
      <w:pPr>
        <w:ind w:left="1755"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8E49E8"/>
    <w:multiLevelType w:val="hybridMultilevel"/>
    <w:tmpl w:val="34DAD8EA"/>
    <w:lvl w:ilvl="0" w:tplc="9C40B9A8">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C5544"/>
    <w:multiLevelType w:val="hybridMultilevel"/>
    <w:tmpl w:val="B51E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747AC"/>
    <w:multiLevelType w:val="hybridMultilevel"/>
    <w:tmpl w:val="C4489036"/>
    <w:lvl w:ilvl="0" w:tplc="9C40B9A8">
      <w:start w:val="1"/>
      <w:numFmt w:val="lowerRoman"/>
      <w:lvlText w:val="%1."/>
      <w:lvlJc w:val="left"/>
      <w:pPr>
        <w:ind w:left="1755"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EF1041"/>
    <w:multiLevelType w:val="hybridMultilevel"/>
    <w:tmpl w:val="6D48E142"/>
    <w:lvl w:ilvl="0" w:tplc="9C40B9A8">
      <w:start w:val="1"/>
      <w:numFmt w:val="lowerRoman"/>
      <w:lvlText w:val="%1."/>
      <w:lvlJc w:val="left"/>
      <w:pPr>
        <w:ind w:left="1755"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9A36F1"/>
    <w:multiLevelType w:val="hybridMultilevel"/>
    <w:tmpl w:val="F7400EE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57FA4944"/>
    <w:multiLevelType w:val="hybridMultilevel"/>
    <w:tmpl w:val="D272125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8"/>
  </w:num>
  <w:num w:numId="2">
    <w:abstractNumId w:val="3"/>
  </w:num>
  <w:num w:numId="3">
    <w:abstractNumId w:val="2"/>
  </w:num>
  <w:num w:numId="4">
    <w:abstractNumId w:val="16"/>
  </w:num>
  <w:num w:numId="5">
    <w:abstractNumId w:val="5"/>
  </w:num>
  <w:num w:numId="6">
    <w:abstractNumId w:val="9"/>
  </w:num>
  <w:num w:numId="7">
    <w:abstractNumId w:val="7"/>
  </w:num>
  <w:num w:numId="8">
    <w:abstractNumId w:val="11"/>
  </w:num>
  <w:num w:numId="9">
    <w:abstractNumId w:val="13"/>
  </w:num>
  <w:num w:numId="10">
    <w:abstractNumId w:val="10"/>
  </w:num>
  <w:num w:numId="11">
    <w:abstractNumId w:val="14"/>
  </w:num>
  <w:num w:numId="12">
    <w:abstractNumId w:val="15"/>
  </w:num>
  <w:num w:numId="13">
    <w:abstractNumId w:val="0"/>
  </w:num>
  <w:num w:numId="14">
    <w:abstractNumId w:val="12"/>
  </w:num>
  <w:num w:numId="15">
    <w:abstractNumId w:val="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FD"/>
    <w:rsid w:val="000075EA"/>
    <w:rsid w:val="00070A48"/>
    <w:rsid w:val="00154AB6"/>
    <w:rsid w:val="0019117E"/>
    <w:rsid w:val="00247629"/>
    <w:rsid w:val="00254501"/>
    <w:rsid w:val="00333C06"/>
    <w:rsid w:val="004137B9"/>
    <w:rsid w:val="00692C17"/>
    <w:rsid w:val="00761282"/>
    <w:rsid w:val="00767A16"/>
    <w:rsid w:val="007B66EF"/>
    <w:rsid w:val="00861CF2"/>
    <w:rsid w:val="008B091B"/>
    <w:rsid w:val="008B65C3"/>
    <w:rsid w:val="00907245"/>
    <w:rsid w:val="009B57FD"/>
    <w:rsid w:val="00B938CA"/>
    <w:rsid w:val="00C11179"/>
    <w:rsid w:val="00CB5CBF"/>
    <w:rsid w:val="00DB7191"/>
    <w:rsid w:val="00E9624F"/>
    <w:rsid w:val="00E96E04"/>
    <w:rsid w:val="00EB59C2"/>
    <w:rsid w:val="00F0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BF"/>
  </w:style>
  <w:style w:type="paragraph" w:styleId="Heading1">
    <w:name w:val="heading 1"/>
    <w:basedOn w:val="Normal"/>
    <w:next w:val="Normal"/>
    <w:link w:val="Heading1Char"/>
    <w:uiPriority w:val="9"/>
    <w:qFormat/>
    <w:rsid w:val="00E96E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F0795D"/>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line="240" w:lineRule="exact"/>
      <w:jc w:val="center"/>
      <w:outlineLvl w:val="7"/>
    </w:pPr>
    <w:rPr>
      <w:rFonts w:eastAsia="Times New Roman" w:cs="Times New Roman"/>
      <w:b/>
      <w:bCs/>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rsid w:val="009B57FD"/>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eastAsia="Times New Roman" w:cs="Times New Roman"/>
      <w:kern w:val="2"/>
      <w:sz w:val="20"/>
      <w:szCs w:val="20"/>
    </w:rPr>
  </w:style>
  <w:style w:type="paragraph" w:customStyle="1" w:styleId="a">
    <w:name w:val="a."/>
    <w:basedOn w:val="Normal"/>
    <w:rsid w:val="009B57FD"/>
    <w:pPr>
      <w:tabs>
        <w:tab w:val="left" w:pos="907"/>
        <w:tab w:val="left" w:pos="4500"/>
        <w:tab w:val="left" w:pos="4680"/>
        <w:tab w:val="left" w:pos="4860"/>
        <w:tab w:val="left" w:pos="5040"/>
        <w:tab w:val="left" w:pos="7200"/>
      </w:tabs>
      <w:spacing w:after="120" w:line="240" w:lineRule="auto"/>
      <w:ind w:firstLine="547"/>
      <w:jc w:val="both"/>
      <w:outlineLvl w:val="5"/>
    </w:pPr>
    <w:rPr>
      <w:rFonts w:eastAsia="Times New Roman" w:cs="Times New Roman"/>
      <w:kern w:val="2"/>
      <w:sz w:val="20"/>
      <w:szCs w:val="20"/>
    </w:rPr>
  </w:style>
  <w:style w:type="paragraph" w:customStyle="1" w:styleId="i">
    <w:name w:val="i."/>
    <w:basedOn w:val="Normal"/>
    <w:rsid w:val="009B57FD"/>
    <w:pPr>
      <w:tabs>
        <w:tab w:val="decimal" w:pos="720"/>
        <w:tab w:val="left" w:pos="1080"/>
        <w:tab w:val="left" w:pos="4500"/>
        <w:tab w:val="left" w:pos="4680"/>
        <w:tab w:val="left" w:pos="4860"/>
        <w:tab w:val="left" w:pos="5040"/>
        <w:tab w:val="left" w:pos="7200"/>
      </w:tabs>
      <w:spacing w:after="120" w:line="240" w:lineRule="auto"/>
      <w:jc w:val="both"/>
      <w:outlineLvl w:val="5"/>
    </w:pPr>
    <w:rPr>
      <w:rFonts w:eastAsia="Times New Roman" w:cs="Times New Roman"/>
      <w:kern w:val="2"/>
      <w:sz w:val="20"/>
      <w:szCs w:val="20"/>
    </w:rPr>
  </w:style>
  <w:style w:type="character" w:customStyle="1" w:styleId="1Char">
    <w:name w:val="1. Char"/>
    <w:link w:val="1"/>
    <w:rsid w:val="00DB7191"/>
    <w:rPr>
      <w:rFonts w:eastAsia="Times New Roman" w:cs="Times New Roman"/>
      <w:kern w:val="2"/>
      <w:sz w:val="20"/>
      <w:szCs w:val="20"/>
    </w:rPr>
  </w:style>
  <w:style w:type="paragraph" w:styleId="FootnoteText">
    <w:name w:val="footnote text"/>
    <w:basedOn w:val="Normal"/>
    <w:link w:val="FootnoteTextChar"/>
    <w:uiPriority w:val="99"/>
    <w:semiHidden/>
    <w:unhideWhenUsed/>
    <w:rsid w:val="00247629"/>
    <w:pPr>
      <w:spacing w:line="240" w:lineRule="auto"/>
    </w:pPr>
    <w:rPr>
      <w:sz w:val="20"/>
      <w:szCs w:val="20"/>
    </w:rPr>
  </w:style>
  <w:style w:type="character" w:customStyle="1" w:styleId="FootnoteTextChar">
    <w:name w:val="Footnote Text Char"/>
    <w:basedOn w:val="DefaultParagraphFont"/>
    <w:link w:val="FootnoteText"/>
    <w:uiPriority w:val="99"/>
    <w:semiHidden/>
    <w:rsid w:val="00247629"/>
    <w:rPr>
      <w:sz w:val="20"/>
      <w:szCs w:val="20"/>
    </w:rPr>
  </w:style>
  <w:style w:type="character" w:styleId="FootnoteReference">
    <w:name w:val="footnote reference"/>
    <w:basedOn w:val="DefaultParagraphFont"/>
    <w:uiPriority w:val="99"/>
    <w:semiHidden/>
    <w:unhideWhenUsed/>
    <w:rsid w:val="00247629"/>
    <w:rPr>
      <w:vertAlign w:val="superscript"/>
    </w:rPr>
  </w:style>
  <w:style w:type="paragraph" w:styleId="ListParagraph">
    <w:name w:val="List Paragraph"/>
    <w:basedOn w:val="Normal"/>
    <w:uiPriority w:val="34"/>
    <w:qFormat/>
    <w:rsid w:val="00861CF2"/>
    <w:pPr>
      <w:ind w:left="720"/>
      <w:contextualSpacing/>
    </w:pPr>
  </w:style>
  <w:style w:type="character" w:customStyle="1" w:styleId="Heading8Char">
    <w:name w:val="Heading 8 Char"/>
    <w:basedOn w:val="DefaultParagraphFont"/>
    <w:link w:val="Heading8"/>
    <w:rsid w:val="00F0795D"/>
    <w:rPr>
      <w:rFonts w:eastAsia="Times New Roman" w:cs="Times New Roman"/>
      <w:b/>
      <w:bCs/>
      <w:kern w:val="2"/>
      <w:sz w:val="18"/>
      <w:szCs w:val="20"/>
    </w:rPr>
  </w:style>
  <w:style w:type="paragraph" w:customStyle="1" w:styleId="a0">
    <w:name w:val="(a)."/>
    <w:basedOn w:val="Normal"/>
    <w:rsid w:val="00F0795D"/>
    <w:pPr>
      <w:tabs>
        <w:tab w:val="left" w:pos="1267"/>
        <w:tab w:val="left" w:pos="4500"/>
        <w:tab w:val="left" w:pos="4680"/>
        <w:tab w:val="left" w:pos="4860"/>
        <w:tab w:val="left" w:pos="5040"/>
        <w:tab w:val="left" w:pos="7200"/>
      </w:tabs>
      <w:spacing w:after="120" w:line="240" w:lineRule="auto"/>
      <w:ind w:firstLine="907"/>
      <w:jc w:val="both"/>
      <w:outlineLvl w:val="7"/>
    </w:pPr>
    <w:rPr>
      <w:rFonts w:eastAsia="Times New Roman" w:cs="Times New Roman"/>
      <w:kern w:val="2"/>
      <w:sz w:val="20"/>
      <w:szCs w:val="20"/>
    </w:rPr>
  </w:style>
  <w:style w:type="paragraph" w:styleId="EndnoteText">
    <w:name w:val="endnote text"/>
    <w:basedOn w:val="Normal"/>
    <w:link w:val="EndnoteTextChar"/>
    <w:uiPriority w:val="99"/>
    <w:semiHidden/>
    <w:unhideWhenUsed/>
    <w:rsid w:val="008B091B"/>
    <w:pPr>
      <w:spacing w:line="240" w:lineRule="auto"/>
    </w:pPr>
    <w:rPr>
      <w:sz w:val="20"/>
      <w:szCs w:val="20"/>
    </w:rPr>
  </w:style>
  <w:style w:type="character" w:customStyle="1" w:styleId="EndnoteTextChar">
    <w:name w:val="Endnote Text Char"/>
    <w:basedOn w:val="DefaultParagraphFont"/>
    <w:link w:val="EndnoteText"/>
    <w:uiPriority w:val="99"/>
    <w:semiHidden/>
    <w:rsid w:val="008B091B"/>
    <w:rPr>
      <w:sz w:val="20"/>
      <w:szCs w:val="20"/>
    </w:rPr>
  </w:style>
  <w:style w:type="character" w:styleId="EndnoteReference">
    <w:name w:val="endnote reference"/>
    <w:basedOn w:val="DefaultParagraphFont"/>
    <w:uiPriority w:val="99"/>
    <w:semiHidden/>
    <w:unhideWhenUsed/>
    <w:rsid w:val="008B091B"/>
    <w:rPr>
      <w:vertAlign w:val="superscript"/>
    </w:rPr>
  </w:style>
  <w:style w:type="paragraph" w:styleId="Title">
    <w:name w:val="Title"/>
    <w:basedOn w:val="Normal"/>
    <w:next w:val="Normal"/>
    <w:link w:val="TitleChar"/>
    <w:uiPriority w:val="10"/>
    <w:qFormat/>
    <w:rsid w:val="00E96E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E0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96E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938CA"/>
    <w:rPr>
      <w:color w:val="0000FF" w:themeColor="hyperlink"/>
      <w:u w:val="single"/>
    </w:rPr>
  </w:style>
  <w:style w:type="character" w:styleId="FollowedHyperlink">
    <w:name w:val="FollowedHyperlink"/>
    <w:basedOn w:val="DefaultParagraphFont"/>
    <w:uiPriority w:val="99"/>
    <w:semiHidden/>
    <w:unhideWhenUsed/>
    <w:rsid w:val="00070A48"/>
    <w:rPr>
      <w:color w:val="800080" w:themeColor="followedHyperlink"/>
      <w:u w:val="single"/>
    </w:rPr>
  </w:style>
  <w:style w:type="paragraph" w:styleId="BalloonText">
    <w:name w:val="Balloon Text"/>
    <w:basedOn w:val="Normal"/>
    <w:link w:val="BalloonTextChar"/>
    <w:uiPriority w:val="99"/>
    <w:semiHidden/>
    <w:unhideWhenUsed/>
    <w:rsid w:val="00692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BF"/>
  </w:style>
  <w:style w:type="paragraph" w:styleId="Heading1">
    <w:name w:val="heading 1"/>
    <w:basedOn w:val="Normal"/>
    <w:next w:val="Normal"/>
    <w:link w:val="Heading1Char"/>
    <w:uiPriority w:val="9"/>
    <w:qFormat/>
    <w:rsid w:val="00E96E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F0795D"/>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line="240" w:lineRule="exact"/>
      <w:jc w:val="center"/>
      <w:outlineLvl w:val="7"/>
    </w:pPr>
    <w:rPr>
      <w:rFonts w:eastAsia="Times New Roman" w:cs="Times New Roman"/>
      <w:b/>
      <w:bCs/>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rsid w:val="009B57FD"/>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eastAsia="Times New Roman" w:cs="Times New Roman"/>
      <w:kern w:val="2"/>
      <w:sz w:val="20"/>
      <w:szCs w:val="20"/>
    </w:rPr>
  </w:style>
  <w:style w:type="paragraph" w:customStyle="1" w:styleId="a">
    <w:name w:val="a."/>
    <w:basedOn w:val="Normal"/>
    <w:rsid w:val="009B57FD"/>
    <w:pPr>
      <w:tabs>
        <w:tab w:val="left" w:pos="907"/>
        <w:tab w:val="left" w:pos="4500"/>
        <w:tab w:val="left" w:pos="4680"/>
        <w:tab w:val="left" w:pos="4860"/>
        <w:tab w:val="left" w:pos="5040"/>
        <w:tab w:val="left" w:pos="7200"/>
      </w:tabs>
      <w:spacing w:after="120" w:line="240" w:lineRule="auto"/>
      <w:ind w:firstLine="547"/>
      <w:jc w:val="both"/>
      <w:outlineLvl w:val="5"/>
    </w:pPr>
    <w:rPr>
      <w:rFonts w:eastAsia="Times New Roman" w:cs="Times New Roman"/>
      <w:kern w:val="2"/>
      <w:sz w:val="20"/>
      <w:szCs w:val="20"/>
    </w:rPr>
  </w:style>
  <w:style w:type="paragraph" w:customStyle="1" w:styleId="i">
    <w:name w:val="i."/>
    <w:basedOn w:val="Normal"/>
    <w:rsid w:val="009B57FD"/>
    <w:pPr>
      <w:tabs>
        <w:tab w:val="decimal" w:pos="720"/>
        <w:tab w:val="left" w:pos="1080"/>
        <w:tab w:val="left" w:pos="4500"/>
        <w:tab w:val="left" w:pos="4680"/>
        <w:tab w:val="left" w:pos="4860"/>
        <w:tab w:val="left" w:pos="5040"/>
        <w:tab w:val="left" w:pos="7200"/>
      </w:tabs>
      <w:spacing w:after="120" w:line="240" w:lineRule="auto"/>
      <w:jc w:val="both"/>
      <w:outlineLvl w:val="5"/>
    </w:pPr>
    <w:rPr>
      <w:rFonts w:eastAsia="Times New Roman" w:cs="Times New Roman"/>
      <w:kern w:val="2"/>
      <w:sz w:val="20"/>
      <w:szCs w:val="20"/>
    </w:rPr>
  </w:style>
  <w:style w:type="character" w:customStyle="1" w:styleId="1Char">
    <w:name w:val="1. Char"/>
    <w:link w:val="1"/>
    <w:rsid w:val="00DB7191"/>
    <w:rPr>
      <w:rFonts w:eastAsia="Times New Roman" w:cs="Times New Roman"/>
      <w:kern w:val="2"/>
      <w:sz w:val="20"/>
      <w:szCs w:val="20"/>
    </w:rPr>
  </w:style>
  <w:style w:type="paragraph" w:styleId="FootnoteText">
    <w:name w:val="footnote text"/>
    <w:basedOn w:val="Normal"/>
    <w:link w:val="FootnoteTextChar"/>
    <w:uiPriority w:val="99"/>
    <w:semiHidden/>
    <w:unhideWhenUsed/>
    <w:rsid w:val="00247629"/>
    <w:pPr>
      <w:spacing w:line="240" w:lineRule="auto"/>
    </w:pPr>
    <w:rPr>
      <w:sz w:val="20"/>
      <w:szCs w:val="20"/>
    </w:rPr>
  </w:style>
  <w:style w:type="character" w:customStyle="1" w:styleId="FootnoteTextChar">
    <w:name w:val="Footnote Text Char"/>
    <w:basedOn w:val="DefaultParagraphFont"/>
    <w:link w:val="FootnoteText"/>
    <w:uiPriority w:val="99"/>
    <w:semiHidden/>
    <w:rsid w:val="00247629"/>
    <w:rPr>
      <w:sz w:val="20"/>
      <w:szCs w:val="20"/>
    </w:rPr>
  </w:style>
  <w:style w:type="character" w:styleId="FootnoteReference">
    <w:name w:val="footnote reference"/>
    <w:basedOn w:val="DefaultParagraphFont"/>
    <w:uiPriority w:val="99"/>
    <w:semiHidden/>
    <w:unhideWhenUsed/>
    <w:rsid w:val="00247629"/>
    <w:rPr>
      <w:vertAlign w:val="superscript"/>
    </w:rPr>
  </w:style>
  <w:style w:type="paragraph" w:styleId="ListParagraph">
    <w:name w:val="List Paragraph"/>
    <w:basedOn w:val="Normal"/>
    <w:uiPriority w:val="34"/>
    <w:qFormat/>
    <w:rsid w:val="00861CF2"/>
    <w:pPr>
      <w:ind w:left="720"/>
      <w:contextualSpacing/>
    </w:pPr>
  </w:style>
  <w:style w:type="character" w:customStyle="1" w:styleId="Heading8Char">
    <w:name w:val="Heading 8 Char"/>
    <w:basedOn w:val="DefaultParagraphFont"/>
    <w:link w:val="Heading8"/>
    <w:rsid w:val="00F0795D"/>
    <w:rPr>
      <w:rFonts w:eastAsia="Times New Roman" w:cs="Times New Roman"/>
      <w:b/>
      <w:bCs/>
      <w:kern w:val="2"/>
      <w:sz w:val="18"/>
      <w:szCs w:val="20"/>
    </w:rPr>
  </w:style>
  <w:style w:type="paragraph" w:customStyle="1" w:styleId="a0">
    <w:name w:val="(a)."/>
    <w:basedOn w:val="Normal"/>
    <w:rsid w:val="00F0795D"/>
    <w:pPr>
      <w:tabs>
        <w:tab w:val="left" w:pos="1267"/>
        <w:tab w:val="left" w:pos="4500"/>
        <w:tab w:val="left" w:pos="4680"/>
        <w:tab w:val="left" w:pos="4860"/>
        <w:tab w:val="left" w:pos="5040"/>
        <w:tab w:val="left" w:pos="7200"/>
      </w:tabs>
      <w:spacing w:after="120" w:line="240" w:lineRule="auto"/>
      <w:ind w:firstLine="907"/>
      <w:jc w:val="both"/>
      <w:outlineLvl w:val="7"/>
    </w:pPr>
    <w:rPr>
      <w:rFonts w:eastAsia="Times New Roman" w:cs="Times New Roman"/>
      <w:kern w:val="2"/>
      <w:sz w:val="20"/>
      <w:szCs w:val="20"/>
    </w:rPr>
  </w:style>
  <w:style w:type="paragraph" w:styleId="EndnoteText">
    <w:name w:val="endnote text"/>
    <w:basedOn w:val="Normal"/>
    <w:link w:val="EndnoteTextChar"/>
    <w:uiPriority w:val="99"/>
    <w:semiHidden/>
    <w:unhideWhenUsed/>
    <w:rsid w:val="008B091B"/>
    <w:pPr>
      <w:spacing w:line="240" w:lineRule="auto"/>
    </w:pPr>
    <w:rPr>
      <w:sz w:val="20"/>
      <w:szCs w:val="20"/>
    </w:rPr>
  </w:style>
  <w:style w:type="character" w:customStyle="1" w:styleId="EndnoteTextChar">
    <w:name w:val="Endnote Text Char"/>
    <w:basedOn w:val="DefaultParagraphFont"/>
    <w:link w:val="EndnoteText"/>
    <w:uiPriority w:val="99"/>
    <w:semiHidden/>
    <w:rsid w:val="008B091B"/>
    <w:rPr>
      <w:sz w:val="20"/>
      <w:szCs w:val="20"/>
    </w:rPr>
  </w:style>
  <w:style w:type="character" w:styleId="EndnoteReference">
    <w:name w:val="endnote reference"/>
    <w:basedOn w:val="DefaultParagraphFont"/>
    <w:uiPriority w:val="99"/>
    <w:semiHidden/>
    <w:unhideWhenUsed/>
    <w:rsid w:val="008B091B"/>
    <w:rPr>
      <w:vertAlign w:val="superscript"/>
    </w:rPr>
  </w:style>
  <w:style w:type="paragraph" w:styleId="Title">
    <w:name w:val="Title"/>
    <w:basedOn w:val="Normal"/>
    <w:next w:val="Normal"/>
    <w:link w:val="TitleChar"/>
    <w:uiPriority w:val="10"/>
    <w:qFormat/>
    <w:rsid w:val="00E96E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E0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96E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938CA"/>
    <w:rPr>
      <w:color w:val="0000FF" w:themeColor="hyperlink"/>
      <w:u w:val="single"/>
    </w:rPr>
  </w:style>
  <w:style w:type="character" w:styleId="FollowedHyperlink">
    <w:name w:val="FollowedHyperlink"/>
    <w:basedOn w:val="DefaultParagraphFont"/>
    <w:uiPriority w:val="99"/>
    <w:semiHidden/>
    <w:unhideWhenUsed/>
    <w:rsid w:val="00070A48"/>
    <w:rPr>
      <w:color w:val="800080" w:themeColor="followedHyperlink"/>
      <w:u w:val="single"/>
    </w:rPr>
  </w:style>
  <w:style w:type="paragraph" w:styleId="BalloonText">
    <w:name w:val="Balloon Text"/>
    <w:basedOn w:val="Normal"/>
    <w:link w:val="BalloonTextChar"/>
    <w:uiPriority w:val="99"/>
    <w:semiHidden/>
    <w:unhideWhenUsed/>
    <w:rsid w:val="00692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po.gov/fdsys/pkg/CFR-1999-title40-vol1/pdf/CFR-1999-title40-vol1-sec35-31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1E43-CB0D-4890-BAEB-D2B9039D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griggs</dc:creator>
  <cp:lastModifiedBy>Administrator</cp:lastModifiedBy>
  <cp:revision>7</cp:revision>
  <cp:lastPrinted>2015-06-16T13:19:00Z</cp:lastPrinted>
  <dcterms:created xsi:type="dcterms:W3CDTF">2015-06-10T18:37:00Z</dcterms:created>
  <dcterms:modified xsi:type="dcterms:W3CDTF">2015-06-16T18:03:00Z</dcterms:modified>
</cp:coreProperties>
</file>