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CEC4B" w14:textId="569770DA" w:rsidR="008A678B" w:rsidRPr="003A33D6" w:rsidRDefault="00282F20" w:rsidP="003A33D6">
      <w:pPr>
        <w:spacing w:after="0" w:line="240" w:lineRule="auto"/>
        <w:jc w:val="both"/>
        <w:rPr>
          <w:sz w:val="28"/>
          <w:szCs w:val="28"/>
        </w:rPr>
      </w:pPr>
      <w:r w:rsidRPr="003A33D6">
        <w:rPr>
          <w:sz w:val="28"/>
          <w:szCs w:val="28"/>
        </w:rPr>
        <w:t>Subsidy Award Process</w:t>
      </w:r>
      <w:r w:rsidR="00AF716D">
        <w:rPr>
          <w:sz w:val="28"/>
          <w:szCs w:val="28"/>
        </w:rPr>
        <w:t xml:space="preserve"> – IIJA / BIL Funding</w:t>
      </w:r>
    </w:p>
    <w:p w14:paraId="7081E331" w14:textId="77777777" w:rsidR="00282F20" w:rsidRPr="003A33D6" w:rsidRDefault="00282F20" w:rsidP="003A33D6">
      <w:pPr>
        <w:spacing w:after="0" w:line="240" w:lineRule="auto"/>
        <w:jc w:val="both"/>
        <w:rPr>
          <w:sz w:val="24"/>
          <w:szCs w:val="24"/>
        </w:rPr>
      </w:pPr>
    </w:p>
    <w:p w14:paraId="41F5C8DC" w14:textId="7990A95B" w:rsidR="00282F20" w:rsidRPr="003A33D6" w:rsidRDefault="00282F20" w:rsidP="003A33D6">
      <w:pPr>
        <w:spacing w:after="0" w:line="240" w:lineRule="auto"/>
        <w:jc w:val="both"/>
        <w:rPr>
          <w:sz w:val="24"/>
          <w:szCs w:val="24"/>
        </w:rPr>
      </w:pPr>
      <w:r w:rsidRPr="003A33D6">
        <w:rPr>
          <w:sz w:val="24"/>
          <w:szCs w:val="24"/>
        </w:rPr>
        <w:t xml:space="preserve">All pre-applications received are evaluated on the Disadvantaged Community </w:t>
      </w:r>
      <w:r w:rsidR="001A6E03">
        <w:rPr>
          <w:sz w:val="24"/>
          <w:szCs w:val="24"/>
        </w:rPr>
        <w:t xml:space="preserve">(DAC) </w:t>
      </w:r>
      <w:r w:rsidRPr="003A33D6">
        <w:rPr>
          <w:sz w:val="24"/>
          <w:szCs w:val="24"/>
        </w:rPr>
        <w:t xml:space="preserve">criteria as stated in the </w:t>
      </w:r>
      <w:hyperlink r:id="rId7" w:history="1">
        <w:r w:rsidRPr="001A6E03">
          <w:rPr>
            <w:rStyle w:val="Hyperlink"/>
            <w:sz w:val="24"/>
            <w:szCs w:val="24"/>
          </w:rPr>
          <w:t>Annual IUP</w:t>
        </w:r>
      </w:hyperlink>
      <w:r w:rsidRPr="003A33D6">
        <w:rPr>
          <w:sz w:val="24"/>
          <w:szCs w:val="24"/>
        </w:rPr>
        <w:t xml:space="preserve">.  The </w:t>
      </w:r>
      <w:r w:rsidR="001A6E03">
        <w:rPr>
          <w:sz w:val="24"/>
          <w:szCs w:val="24"/>
        </w:rPr>
        <w:t>DAC</w:t>
      </w:r>
      <w:r w:rsidRPr="003A33D6">
        <w:rPr>
          <w:sz w:val="24"/>
          <w:szCs w:val="24"/>
        </w:rPr>
        <w:t xml:space="preserve"> information is tracked in </w:t>
      </w:r>
      <w:r w:rsidR="001243DE" w:rsidRPr="003A33D6">
        <w:rPr>
          <w:sz w:val="24"/>
          <w:szCs w:val="24"/>
        </w:rPr>
        <w:t>the Loan and Grants Tracking System (</w:t>
      </w:r>
      <w:r w:rsidRPr="003A33D6">
        <w:rPr>
          <w:sz w:val="24"/>
          <w:szCs w:val="24"/>
        </w:rPr>
        <w:t>LGTS</w:t>
      </w:r>
      <w:r w:rsidR="001243DE" w:rsidRPr="003A33D6">
        <w:rPr>
          <w:sz w:val="24"/>
          <w:szCs w:val="24"/>
        </w:rPr>
        <w:t>)</w:t>
      </w:r>
      <w:r w:rsidRPr="003A33D6">
        <w:rPr>
          <w:sz w:val="24"/>
          <w:szCs w:val="24"/>
        </w:rPr>
        <w:t>.</w:t>
      </w:r>
    </w:p>
    <w:p w14:paraId="0D2775B8" w14:textId="77777777" w:rsidR="00282F20" w:rsidRPr="003A33D6" w:rsidRDefault="00282F20" w:rsidP="003A33D6">
      <w:pPr>
        <w:spacing w:after="0" w:line="240" w:lineRule="auto"/>
        <w:jc w:val="both"/>
        <w:rPr>
          <w:sz w:val="24"/>
          <w:szCs w:val="24"/>
        </w:rPr>
      </w:pPr>
    </w:p>
    <w:p w14:paraId="2C85AFAC" w14:textId="4B9EE2A8" w:rsidR="0019279E" w:rsidRPr="003A33D6" w:rsidRDefault="004B5E37" w:rsidP="003A33D6">
      <w:pPr>
        <w:spacing w:after="0" w:line="240" w:lineRule="auto"/>
        <w:jc w:val="both"/>
        <w:rPr>
          <w:sz w:val="24"/>
          <w:szCs w:val="24"/>
        </w:rPr>
      </w:pPr>
      <w:r w:rsidRPr="003A33D6">
        <w:rPr>
          <w:sz w:val="24"/>
          <w:szCs w:val="24"/>
        </w:rPr>
        <w:t>During the annual award period</w:t>
      </w:r>
      <w:r w:rsidR="00282F20" w:rsidRPr="003A33D6">
        <w:rPr>
          <w:sz w:val="24"/>
          <w:szCs w:val="24"/>
        </w:rPr>
        <w:t xml:space="preserve">, the subsidy requirement (i.e. </w:t>
      </w:r>
      <w:r w:rsidR="001A6E03">
        <w:rPr>
          <w:sz w:val="24"/>
          <w:szCs w:val="24"/>
        </w:rPr>
        <w:t>49</w:t>
      </w:r>
      <w:r w:rsidR="00282F20" w:rsidRPr="003A33D6">
        <w:rPr>
          <w:sz w:val="24"/>
          <w:szCs w:val="24"/>
        </w:rPr>
        <w:t xml:space="preserve">% of the </w:t>
      </w:r>
      <w:r w:rsidR="001A6E03">
        <w:rPr>
          <w:sz w:val="24"/>
          <w:szCs w:val="24"/>
        </w:rPr>
        <w:t>BIL Supplemental</w:t>
      </w:r>
      <w:r w:rsidR="00282F20" w:rsidRPr="003A33D6">
        <w:rPr>
          <w:sz w:val="24"/>
          <w:szCs w:val="24"/>
        </w:rPr>
        <w:t xml:space="preserve"> grant amount) is determined.  The </w:t>
      </w:r>
      <w:r w:rsidR="008F259A" w:rsidRPr="003A33D6">
        <w:rPr>
          <w:sz w:val="24"/>
          <w:szCs w:val="24"/>
        </w:rPr>
        <w:t xml:space="preserve">priority </w:t>
      </w:r>
      <w:r w:rsidR="00282F20" w:rsidRPr="003A33D6">
        <w:rPr>
          <w:sz w:val="24"/>
          <w:szCs w:val="24"/>
        </w:rPr>
        <w:t>list of uncommitted projects</w:t>
      </w:r>
      <w:r w:rsidR="008F259A" w:rsidRPr="003A33D6">
        <w:rPr>
          <w:sz w:val="24"/>
          <w:szCs w:val="24"/>
        </w:rPr>
        <w:t xml:space="preserve"> (i.e. future funding list) is</w:t>
      </w:r>
      <w:r w:rsidR="00282F20" w:rsidRPr="003A33D6">
        <w:rPr>
          <w:sz w:val="24"/>
          <w:szCs w:val="24"/>
        </w:rPr>
        <w:t xml:space="preserve"> assessed for receiving the determined allocation amount</w:t>
      </w:r>
      <w:r w:rsidR="008F259A" w:rsidRPr="003A33D6">
        <w:rPr>
          <w:sz w:val="24"/>
          <w:szCs w:val="24"/>
        </w:rPr>
        <w:t xml:space="preserve"> for that funding cycle</w:t>
      </w:r>
      <w:r w:rsidR="00282F20" w:rsidRPr="003A33D6">
        <w:rPr>
          <w:sz w:val="24"/>
          <w:szCs w:val="24"/>
        </w:rPr>
        <w:t xml:space="preserve">.  Those projects considered for funding </w:t>
      </w:r>
      <w:r w:rsidRPr="003A33D6">
        <w:rPr>
          <w:sz w:val="24"/>
          <w:szCs w:val="24"/>
        </w:rPr>
        <w:t>which</w:t>
      </w:r>
      <w:r w:rsidR="00282F20" w:rsidRPr="003A33D6">
        <w:rPr>
          <w:sz w:val="24"/>
          <w:szCs w:val="24"/>
        </w:rPr>
        <w:t xml:space="preserve"> meet </w:t>
      </w:r>
      <w:r w:rsidR="00295048">
        <w:rPr>
          <w:sz w:val="24"/>
          <w:szCs w:val="24"/>
        </w:rPr>
        <w:t>the DAC criteria in the table below will be given priority (from the top down).</w:t>
      </w:r>
      <w:r w:rsidR="0019279E" w:rsidRPr="003A33D6">
        <w:rPr>
          <w:sz w:val="24"/>
          <w:szCs w:val="24"/>
        </w:rPr>
        <w:t xml:space="preserve">  The preliminary subsidy earmarked for award is considered by a percentage of the loan amount</w:t>
      </w:r>
      <w:r w:rsidR="001A6E03">
        <w:rPr>
          <w:sz w:val="24"/>
          <w:szCs w:val="24"/>
        </w:rPr>
        <w:t>.  There will be a maximum -</w:t>
      </w:r>
      <w:r w:rsidR="0019279E" w:rsidRPr="003A33D6">
        <w:rPr>
          <w:sz w:val="24"/>
          <w:szCs w:val="24"/>
        </w:rPr>
        <w:t xml:space="preserve"> not to exceed </w:t>
      </w:r>
      <w:r w:rsidR="001A6E03">
        <w:rPr>
          <w:sz w:val="24"/>
          <w:szCs w:val="24"/>
        </w:rPr>
        <w:t xml:space="preserve">amount, but that amount may change each year with number of applications, amount of BIL subsidy, etc.  For pre-application purposes, assume the maximum BIL subsidy would equal or be less than </w:t>
      </w:r>
      <w:r w:rsidR="0019279E" w:rsidRPr="003A33D6">
        <w:rPr>
          <w:sz w:val="24"/>
          <w:szCs w:val="24"/>
        </w:rPr>
        <w:t>$</w:t>
      </w:r>
      <w:r w:rsidR="001A6E03">
        <w:rPr>
          <w:sz w:val="24"/>
          <w:szCs w:val="24"/>
        </w:rPr>
        <w:t>2,0</w:t>
      </w:r>
      <w:r w:rsidR="0019279E" w:rsidRPr="003A33D6">
        <w:rPr>
          <w:sz w:val="24"/>
          <w:szCs w:val="24"/>
        </w:rPr>
        <w:t>00,000</w:t>
      </w:r>
      <w:r w:rsidR="001A6E03">
        <w:rPr>
          <w:sz w:val="24"/>
          <w:szCs w:val="24"/>
        </w:rPr>
        <w:t xml:space="preserve"> per community</w:t>
      </w:r>
      <w:r w:rsidR="0019279E" w:rsidRPr="003A33D6">
        <w:rPr>
          <w:sz w:val="24"/>
          <w:szCs w:val="24"/>
        </w:rPr>
        <w:t xml:space="preserve">.  </w:t>
      </w:r>
    </w:p>
    <w:p w14:paraId="6A55DC7B" w14:textId="77777777" w:rsidR="0019279E" w:rsidRPr="003A33D6" w:rsidRDefault="0019279E" w:rsidP="003A33D6">
      <w:pPr>
        <w:spacing w:after="0" w:line="240" w:lineRule="auto"/>
        <w:jc w:val="both"/>
        <w:rPr>
          <w:sz w:val="24"/>
          <w:szCs w:val="24"/>
        </w:rPr>
      </w:pPr>
    </w:p>
    <w:p w14:paraId="42AD02D8" w14:textId="042D23FF" w:rsidR="0019279E" w:rsidRDefault="0019279E" w:rsidP="003A33D6">
      <w:pPr>
        <w:spacing w:after="0" w:line="240" w:lineRule="auto"/>
        <w:jc w:val="both"/>
        <w:rPr>
          <w:sz w:val="24"/>
          <w:szCs w:val="24"/>
        </w:rPr>
      </w:pPr>
      <w:r w:rsidRPr="003A33D6">
        <w:rPr>
          <w:sz w:val="24"/>
          <w:szCs w:val="24"/>
        </w:rPr>
        <w:t>Preliminary Subsidy to Award</w:t>
      </w:r>
    </w:p>
    <w:p w14:paraId="7DA2B532" w14:textId="43E6936B" w:rsidR="001A6E03" w:rsidRPr="003A33D6" w:rsidRDefault="001A6E03" w:rsidP="001A6E03">
      <w:pPr>
        <w:tabs>
          <w:tab w:val="left" w:pos="720"/>
          <w:tab w:val="left" w:pos="6480"/>
        </w:tabs>
        <w:spacing w:after="0" w:line="240" w:lineRule="auto"/>
        <w:jc w:val="both"/>
        <w:rPr>
          <w:sz w:val="24"/>
          <w:szCs w:val="24"/>
        </w:rPr>
      </w:pPr>
      <w:r w:rsidRPr="003A33D6">
        <w:rPr>
          <w:sz w:val="24"/>
          <w:szCs w:val="24"/>
        </w:rPr>
        <w:tab/>
      </w:r>
      <w:r w:rsidR="00D94887">
        <w:rPr>
          <w:sz w:val="24"/>
          <w:szCs w:val="24"/>
        </w:rPr>
        <w:t xml:space="preserve">Estimated </w:t>
      </w:r>
      <w:r w:rsidRPr="003A33D6">
        <w:rPr>
          <w:sz w:val="24"/>
          <w:szCs w:val="24"/>
        </w:rPr>
        <w:t xml:space="preserve">Maximum Preliminary Subsidy Amount = </w:t>
      </w:r>
      <w:r w:rsidRPr="003A33D6">
        <w:rPr>
          <w:sz w:val="24"/>
          <w:szCs w:val="24"/>
        </w:rPr>
        <w:tab/>
        <w:t>$</w:t>
      </w:r>
      <w:r>
        <w:rPr>
          <w:sz w:val="24"/>
          <w:szCs w:val="24"/>
        </w:rPr>
        <w:t>2,0</w:t>
      </w:r>
      <w:r w:rsidRPr="003A33D6">
        <w:rPr>
          <w:sz w:val="24"/>
          <w:szCs w:val="24"/>
        </w:rPr>
        <w:t>00,000</w:t>
      </w:r>
      <w:bookmarkStart w:id="0" w:name="_GoBack"/>
      <w:bookmarkEnd w:id="0"/>
    </w:p>
    <w:tbl>
      <w:tblPr>
        <w:tblStyle w:val="TableGrid"/>
        <w:tblW w:w="9535" w:type="dxa"/>
        <w:tblLook w:val="04A0" w:firstRow="1" w:lastRow="0" w:firstColumn="1" w:lastColumn="0" w:noHBand="0" w:noVBand="1"/>
      </w:tblPr>
      <w:tblGrid>
        <w:gridCol w:w="6745"/>
        <w:gridCol w:w="2790"/>
      </w:tblGrid>
      <w:tr w:rsidR="001A6E03" w:rsidRPr="00636C16" w14:paraId="14A98591" w14:textId="77777777" w:rsidTr="00636C16">
        <w:tc>
          <w:tcPr>
            <w:tcW w:w="6745" w:type="dxa"/>
          </w:tcPr>
          <w:p w14:paraId="421FB81C" w14:textId="1E4A825C" w:rsidR="001A6E03" w:rsidRPr="00636C16" w:rsidRDefault="001A6E03" w:rsidP="003A33D6">
            <w:pPr>
              <w:tabs>
                <w:tab w:val="left" w:pos="720"/>
                <w:tab w:val="left" w:pos="6480"/>
              </w:tabs>
              <w:jc w:val="both"/>
              <w:rPr>
                <w:b/>
                <w:sz w:val="24"/>
                <w:szCs w:val="24"/>
                <w:u w:val="single"/>
              </w:rPr>
            </w:pPr>
            <w:r w:rsidRPr="00636C16">
              <w:rPr>
                <w:b/>
                <w:sz w:val="24"/>
                <w:szCs w:val="24"/>
                <w:u w:val="single"/>
              </w:rPr>
              <w:t>Criteria</w:t>
            </w:r>
          </w:p>
        </w:tc>
        <w:tc>
          <w:tcPr>
            <w:tcW w:w="2790" w:type="dxa"/>
          </w:tcPr>
          <w:p w14:paraId="55E6DC98" w14:textId="2327D1E8" w:rsidR="001A6E03" w:rsidRPr="00636C16" w:rsidRDefault="001A6E03" w:rsidP="003A33D6">
            <w:pPr>
              <w:tabs>
                <w:tab w:val="left" w:pos="720"/>
                <w:tab w:val="left" w:pos="6480"/>
              </w:tabs>
              <w:jc w:val="both"/>
              <w:rPr>
                <w:b/>
                <w:sz w:val="24"/>
                <w:szCs w:val="24"/>
                <w:u w:val="single"/>
              </w:rPr>
            </w:pPr>
            <w:r w:rsidRPr="00636C16">
              <w:rPr>
                <w:b/>
                <w:sz w:val="24"/>
                <w:szCs w:val="24"/>
                <w:u w:val="single"/>
              </w:rPr>
              <w:t>Potential Subsidy Amount</w:t>
            </w:r>
          </w:p>
        </w:tc>
      </w:tr>
      <w:tr w:rsidR="001A6E03" w:rsidRPr="00636C16" w14:paraId="613E609D" w14:textId="77777777" w:rsidTr="00636C16">
        <w:tc>
          <w:tcPr>
            <w:tcW w:w="6745" w:type="dxa"/>
          </w:tcPr>
          <w:p w14:paraId="4675D70E" w14:textId="5FABC9DB" w:rsidR="001A6E03" w:rsidRPr="00636C16" w:rsidRDefault="001A6E03" w:rsidP="00636C16">
            <w:pPr>
              <w:tabs>
                <w:tab w:val="left" w:pos="720"/>
                <w:tab w:val="left" w:pos="6480"/>
              </w:tabs>
              <w:jc w:val="both"/>
            </w:pPr>
            <w:r w:rsidRPr="00636C16">
              <w:t>Meets all 3 DAC criteria &amp; MHI</w:t>
            </w:r>
            <w:r w:rsidR="00636C16" w:rsidRPr="00636C16">
              <w:t xml:space="preserve"> &lt; 50% State MHI</w:t>
            </w:r>
          </w:p>
        </w:tc>
        <w:tc>
          <w:tcPr>
            <w:tcW w:w="2790" w:type="dxa"/>
          </w:tcPr>
          <w:p w14:paraId="31C80396" w14:textId="593C1237" w:rsidR="001A6E03" w:rsidRPr="00636C16" w:rsidRDefault="00636C16" w:rsidP="003A33D6">
            <w:pPr>
              <w:tabs>
                <w:tab w:val="left" w:pos="720"/>
                <w:tab w:val="left" w:pos="6480"/>
              </w:tabs>
              <w:jc w:val="both"/>
            </w:pPr>
            <w:r w:rsidRPr="00636C16">
              <w:t>100% of project or max</w:t>
            </w:r>
          </w:p>
        </w:tc>
      </w:tr>
      <w:tr w:rsidR="001A6E03" w:rsidRPr="00636C16" w14:paraId="1BADEF44" w14:textId="77777777" w:rsidTr="00636C16">
        <w:tc>
          <w:tcPr>
            <w:tcW w:w="6745" w:type="dxa"/>
          </w:tcPr>
          <w:p w14:paraId="310D600C" w14:textId="12590F0D" w:rsidR="001A6E03" w:rsidRPr="00636C16" w:rsidRDefault="00636C16" w:rsidP="00636C16">
            <w:pPr>
              <w:tabs>
                <w:tab w:val="left" w:pos="720"/>
                <w:tab w:val="left" w:pos="6480"/>
              </w:tabs>
              <w:jc w:val="both"/>
            </w:pPr>
            <w:r w:rsidRPr="00636C16">
              <w:t xml:space="preserve">Meets all 3 DAC criteria &amp; 50% State MHI &lt; MHI &lt; 75% State MHI </w:t>
            </w:r>
          </w:p>
        </w:tc>
        <w:tc>
          <w:tcPr>
            <w:tcW w:w="2790" w:type="dxa"/>
          </w:tcPr>
          <w:p w14:paraId="692A6D3F" w14:textId="05C3D0EA" w:rsidR="001A6E03" w:rsidRPr="00636C16" w:rsidRDefault="00636C16" w:rsidP="003A33D6">
            <w:pPr>
              <w:tabs>
                <w:tab w:val="left" w:pos="720"/>
                <w:tab w:val="left" w:pos="6480"/>
              </w:tabs>
              <w:jc w:val="both"/>
            </w:pPr>
            <w:r w:rsidRPr="00636C16">
              <w:t>75% of project or 75% max</w:t>
            </w:r>
          </w:p>
        </w:tc>
      </w:tr>
      <w:tr w:rsidR="00636C16" w:rsidRPr="00636C16" w14:paraId="20B23D89" w14:textId="77777777" w:rsidTr="00636C16">
        <w:tc>
          <w:tcPr>
            <w:tcW w:w="6745" w:type="dxa"/>
          </w:tcPr>
          <w:p w14:paraId="7AC0D453" w14:textId="040CE18E" w:rsidR="00636C16" w:rsidRPr="00636C16" w:rsidRDefault="00636C16" w:rsidP="00636C16">
            <w:pPr>
              <w:tabs>
                <w:tab w:val="left" w:pos="720"/>
                <w:tab w:val="left" w:pos="6480"/>
              </w:tabs>
              <w:jc w:val="both"/>
            </w:pPr>
            <w:r w:rsidRPr="00636C16">
              <w:t>MHI &lt; 50% State MHI, but meet less than 3 DAC criteria</w:t>
            </w:r>
          </w:p>
        </w:tc>
        <w:tc>
          <w:tcPr>
            <w:tcW w:w="2790" w:type="dxa"/>
          </w:tcPr>
          <w:p w14:paraId="529E5F13" w14:textId="7F5DBDA3" w:rsidR="00636C16" w:rsidRPr="00636C16" w:rsidRDefault="00636C16" w:rsidP="00636C16">
            <w:pPr>
              <w:tabs>
                <w:tab w:val="left" w:pos="720"/>
                <w:tab w:val="left" w:pos="6480"/>
              </w:tabs>
              <w:jc w:val="both"/>
            </w:pPr>
            <w:r w:rsidRPr="00636C16">
              <w:t>75% of project or 75% max</w:t>
            </w:r>
          </w:p>
        </w:tc>
      </w:tr>
      <w:tr w:rsidR="00636C16" w:rsidRPr="00636C16" w14:paraId="05783DD1" w14:textId="77777777" w:rsidTr="00636C16">
        <w:tc>
          <w:tcPr>
            <w:tcW w:w="6745" w:type="dxa"/>
          </w:tcPr>
          <w:p w14:paraId="48789868" w14:textId="6D7ED32B" w:rsidR="00636C16" w:rsidRPr="00636C16" w:rsidRDefault="00636C16" w:rsidP="00636C16">
            <w:pPr>
              <w:tabs>
                <w:tab w:val="left" w:pos="720"/>
                <w:tab w:val="left" w:pos="6480"/>
              </w:tabs>
              <w:jc w:val="both"/>
            </w:pPr>
            <w:r w:rsidRPr="00636C16">
              <w:t>50% State MHI &lt; MHI &lt; 75% State MHI, but meet less than 3 DAC criteria</w:t>
            </w:r>
          </w:p>
        </w:tc>
        <w:tc>
          <w:tcPr>
            <w:tcW w:w="2790" w:type="dxa"/>
          </w:tcPr>
          <w:p w14:paraId="557BB269" w14:textId="36F33349" w:rsidR="00636C16" w:rsidRPr="00636C16" w:rsidRDefault="00636C16" w:rsidP="00636C16">
            <w:pPr>
              <w:tabs>
                <w:tab w:val="left" w:pos="720"/>
                <w:tab w:val="left" w:pos="6480"/>
              </w:tabs>
              <w:jc w:val="both"/>
            </w:pPr>
            <w:r w:rsidRPr="00636C16">
              <w:t>65% of project or 65% max</w:t>
            </w:r>
          </w:p>
        </w:tc>
      </w:tr>
      <w:tr w:rsidR="00636C16" w:rsidRPr="00636C16" w14:paraId="3E3F4D79" w14:textId="77777777" w:rsidTr="00636C16">
        <w:tc>
          <w:tcPr>
            <w:tcW w:w="6745" w:type="dxa"/>
          </w:tcPr>
          <w:p w14:paraId="70EF7E3E" w14:textId="5B4B9A6E" w:rsidR="00636C16" w:rsidRPr="00636C16" w:rsidRDefault="00636C16" w:rsidP="00636C16">
            <w:pPr>
              <w:tabs>
                <w:tab w:val="left" w:pos="720"/>
                <w:tab w:val="left" w:pos="6480"/>
              </w:tabs>
              <w:jc w:val="both"/>
            </w:pPr>
            <w:r w:rsidRPr="00636C16">
              <w:t>Meets all 3 DAC criteria</w:t>
            </w:r>
          </w:p>
        </w:tc>
        <w:tc>
          <w:tcPr>
            <w:tcW w:w="2790" w:type="dxa"/>
          </w:tcPr>
          <w:p w14:paraId="2ECB09AF" w14:textId="18C6FB85" w:rsidR="00636C16" w:rsidRPr="00636C16" w:rsidRDefault="00636C16" w:rsidP="00636C16">
            <w:pPr>
              <w:tabs>
                <w:tab w:val="left" w:pos="720"/>
                <w:tab w:val="left" w:pos="6480"/>
              </w:tabs>
              <w:jc w:val="both"/>
            </w:pPr>
            <w:r w:rsidRPr="00636C16">
              <w:t>50% of project or 50% max</w:t>
            </w:r>
          </w:p>
        </w:tc>
      </w:tr>
      <w:tr w:rsidR="00636C16" w:rsidRPr="00636C16" w14:paraId="00550812" w14:textId="77777777" w:rsidTr="00636C16">
        <w:tc>
          <w:tcPr>
            <w:tcW w:w="6745" w:type="dxa"/>
          </w:tcPr>
          <w:p w14:paraId="1D8BFF10" w14:textId="452E7506" w:rsidR="00636C16" w:rsidRPr="00636C16" w:rsidRDefault="00636C16" w:rsidP="00636C16">
            <w:pPr>
              <w:tabs>
                <w:tab w:val="left" w:pos="720"/>
                <w:tab w:val="left" w:pos="6480"/>
              </w:tabs>
              <w:jc w:val="both"/>
            </w:pPr>
            <w:r>
              <w:t>Meet 2 DAC criteria</w:t>
            </w:r>
          </w:p>
        </w:tc>
        <w:tc>
          <w:tcPr>
            <w:tcW w:w="2790" w:type="dxa"/>
          </w:tcPr>
          <w:p w14:paraId="1EC4D611" w14:textId="0AE8232D" w:rsidR="00636C16" w:rsidRPr="00636C16" w:rsidRDefault="00636C16" w:rsidP="00636C16">
            <w:pPr>
              <w:tabs>
                <w:tab w:val="left" w:pos="720"/>
                <w:tab w:val="left" w:pos="6480"/>
              </w:tabs>
              <w:jc w:val="both"/>
            </w:pPr>
            <w:r>
              <w:t>35% of project or 35% max</w:t>
            </w:r>
          </w:p>
        </w:tc>
      </w:tr>
      <w:tr w:rsidR="00636C16" w:rsidRPr="00636C16" w14:paraId="6D15426E" w14:textId="77777777" w:rsidTr="00636C16">
        <w:tc>
          <w:tcPr>
            <w:tcW w:w="6745" w:type="dxa"/>
          </w:tcPr>
          <w:p w14:paraId="59234F5D" w14:textId="4ED01586" w:rsidR="00636C16" w:rsidRPr="00636C16" w:rsidRDefault="00636C16" w:rsidP="00636C16">
            <w:pPr>
              <w:tabs>
                <w:tab w:val="left" w:pos="720"/>
                <w:tab w:val="left" w:pos="6480"/>
              </w:tabs>
              <w:jc w:val="both"/>
            </w:pPr>
            <w:r>
              <w:t>Meet 1 DAC criteria</w:t>
            </w:r>
          </w:p>
        </w:tc>
        <w:tc>
          <w:tcPr>
            <w:tcW w:w="2790" w:type="dxa"/>
          </w:tcPr>
          <w:p w14:paraId="3AA87ECD" w14:textId="15B7405B" w:rsidR="00636C16" w:rsidRPr="00636C16" w:rsidRDefault="00636C16" w:rsidP="00636C16">
            <w:pPr>
              <w:tabs>
                <w:tab w:val="left" w:pos="720"/>
                <w:tab w:val="left" w:pos="6480"/>
              </w:tabs>
              <w:jc w:val="both"/>
            </w:pPr>
            <w:r>
              <w:t>25% of project or 25% max</w:t>
            </w:r>
          </w:p>
        </w:tc>
      </w:tr>
    </w:tbl>
    <w:p w14:paraId="71979C13" w14:textId="77777777" w:rsidR="001A6E03" w:rsidRDefault="001A6E03" w:rsidP="003A33D6">
      <w:pPr>
        <w:tabs>
          <w:tab w:val="left" w:pos="720"/>
          <w:tab w:val="left" w:pos="6480"/>
        </w:tabs>
        <w:spacing w:after="0" w:line="240" w:lineRule="auto"/>
        <w:jc w:val="both"/>
        <w:rPr>
          <w:sz w:val="24"/>
          <w:szCs w:val="24"/>
        </w:rPr>
      </w:pPr>
    </w:p>
    <w:p w14:paraId="5CD51F90" w14:textId="1FD6A6C0" w:rsidR="00EE7F56" w:rsidRPr="003A33D6" w:rsidRDefault="00D01E3D" w:rsidP="003A33D6">
      <w:pPr>
        <w:spacing w:after="0" w:line="240" w:lineRule="auto"/>
        <w:jc w:val="both"/>
        <w:rPr>
          <w:sz w:val="24"/>
          <w:szCs w:val="24"/>
        </w:rPr>
      </w:pPr>
      <w:r w:rsidRPr="003A33D6">
        <w:rPr>
          <w:sz w:val="24"/>
          <w:szCs w:val="24"/>
        </w:rPr>
        <w:t xml:space="preserve">Note that the preliminary subsidy </w:t>
      </w:r>
      <w:r w:rsidR="0019279E" w:rsidRPr="003A33D6">
        <w:rPr>
          <w:sz w:val="24"/>
          <w:szCs w:val="24"/>
        </w:rPr>
        <w:t xml:space="preserve">amount </w:t>
      </w:r>
      <w:r w:rsidRPr="003A33D6">
        <w:rPr>
          <w:sz w:val="24"/>
          <w:szCs w:val="24"/>
        </w:rPr>
        <w:t xml:space="preserve">may </w:t>
      </w:r>
      <w:r w:rsidR="002E5168" w:rsidRPr="003A33D6">
        <w:rPr>
          <w:sz w:val="24"/>
          <w:szCs w:val="24"/>
        </w:rPr>
        <w:t>change</w:t>
      </w:r>
      <w:r w:rsidR="004F75E4" w:rsidRPr="003A33D6">
        <w:rPr>
          <w:sz w:val="24"/>
          <w:szCs w:val="24"/>
        </w:rPr>
        <w:t xml:space="preserve"> </w:t>
      </w:r>
      <w:r w:rsidR="00C83E85" w:rsidRPr="003A33D6">
        <w:rPr>
          <w:sz w:val="24"/>
          <w:szCs w:val="24"/>
        </w:rPr>
        <w:t>depending on the total number of qualified</w:t>
      </w:r>
      <w:r w:rsidRPr="003A33D6">
        <w:rPr>
          <w:sz w:val="24"/>
          <w:szCs w:val="24"/>
        </w:rPr>
        <w:t xml:space="preserve"> subsidy</w:t>
      </w:r>
      <w:r w:rsidR="00D76BBF" w:rsidRPr="003A33D6">
        <w:rPr>
          <w:sz w:val="24"/>
          <w:szCs w:val="24"/>
        </w:rPr>
        <w:t xml:space="preserve"> projects</w:t>
      </w:r>
      <w:r w:rsidRPr="003A33D6">
        <w:rPr>
          <w:sz w:val="24"/>
          <w:szCs w:val="24"/>
        </w:rPr>
        <w:t xml:space="preserve">.  </w:t>
      </w:r>
      <w:r w:rsidR="00EE7F56" w:rsidRPr="003A33D6">
        <w:rPr>
          <w:sz w:val="24"/>
          <w:szCs w:val="24"/>
        </w:rPr>
        <w:t>The Louisiana CWSRF will award at least the minimum</w:t>
      </w:r>
      <w:r w:rsidR="001A6E03">
        <w:rPr>
          <w:sz w:val="24"/>
          <w:szCs w:val="24"/>
        </w:rPr>
        <w:t xml:space="preserve"> required subsidy as per the Capitalization</w:t>
      </w:r>
      <w:r w:rsidR="00EE7F56" w:rsidRPr="003A33D6">
        <w:rPr>
          <w:sz w:val="24"/>
          <w:szCs w:val="24"/>
        </w:rPr>
        <w:t xml:space="preserve"> grant</w:t>
      </w:r>
      <w:r w:rsidR="001A6E03">
        <w:rPr>
          <w:sz w:val="24"/>
          <w:szCs w:val="24"/>
        </w:rPr>
        <w:t xml:space="preserve"> requirement</w:t>
      </w:r>
      <w:r w:rsidR="00EE7F56" w:rsidRPr="003A33D6">
        <w:rPr>
          <w:sz w:val="24"/>
          <w:szCs w:val="24"/>
        </w:rPr>
        <w:t>.</w:t>
      </w:r>
    </w:p>
    <w:p w14:paraId="50405B55" w14:textId="77777777" w:rsidR="00EE7F56" w:rsidRPr="003A33D6" w:rsidRDefault="00EE7F56" w:rsidP="003A33D6">
      <w:pPr>
        <w:spacing w:after="0" w:line="240" w:lineRule="auto"/>
        <w:jc w:val="both"/>
        <w:rPr>
          <w:sz w:val="24"/>
          <w:szCs w:val="24"/>
        </w:rPr>
      </w:pPr>
    </w:p>
    <w:p w14:paraId="084AC597" w14:textId="0D5C3DAB" w:rsidR="001B2B88" w:rsidRPr="00B7077B" w:rsidRDefault="008F259A" w:rsidP="003A33D6">
      <w:pPr>
        <w:spacing w:after="0" w:line="240" w:lineRule="auto"/>
        <w:jc w:val="both"/>
        <w:rPr>
          <w:i/>
          <w:sz w:val="24"/>
          <w:szCs w:val="24"/>
        </w:rPr>
      </w:pPr>
      <w:r w:rsidRPr="00B7077B">
        <w:rPr>
          <w:i/>
          <w:sz w:val="24"/>
          <w:szCs w:val="24"/>
        </w:rPr>
        <w:t xml:space="preserve">The final subsidy amount awarded to a project is determined after reviewing the applicant’s financial ability to repay </w:t>
      </w:r>
      <w:r w:rsidR="00EE7F56" w:rsidRPr="00B7077B">
        <w:rPr>
          <w:i/>
          <w:sz w:val="24"/>
          <w:szCs w:val="24"/>
        </w:rPr>
        <w:t xml:space="preserve">a </w:t>
      </w:r>
      <w:r w:rsidRPr="00B7077B">
        <w:rPr>
          <w:i/>
          <w:sz w:val="24"/>
          <w:szCs w:val="24"/>
        </w:rPr>
        <w:t xml:space="preserve">loan.  The final awarded subsidy amount may differ from the preliminary amount.  </w:t>
      </w:r>
    </w:p>
    <w:p w14:paraId="378AD3F3" w14:textId="32B29491" w:rsidR="00E13BDE" w:rsidRPr="003A33D6" w:rsidRDefault="00E13BDE" w:rsidP="003A33D6">
      <w:pPr>
        <w:spacing w:after="0" w:line="240" w:lineRule="auto"/>
        <w:jc w:val="both"/>
        <w:rPr>
          <w:sz w:val="24"/>
          <w:szCs w:val="24"/>
        </w:rPr>
      </w:pPr>
    </w:p>
    <w:p w14:paraId="55AA518B" w14:textId="501429F0" w:rsidR="004F75E4" w:rsidRPr="00D94887" w:rsidRDefault="00BE6F2D" w:rsidP="003A33D6">
      <w:pPr>
        <w:spacing w:after="0" w:line="240" w:lineRule="auto"/>
        <w:jc w:val="both"/>
        <w:rPr>
          <w:b/>
          <w:sz w:val="24"/>
          <w:szCs w:val="24"/>
        </w:rPr>
      </w:pPr>
      <w:r w:rsidRPr="003A33D6">
        <w:rPr>
          <w:sz w:val="24"/>
          <w:szCs w:val="24"/>
        </w:rPr>
        <w:t>NOTICE: A rate study may be requested or a rate increase may be required as a condition for receiving subsidy.</w:t>
      </w:r>
      <w:r w:rsidR="00852422">
        <w:rPr>
          <w:sz w:val="24"/>
          <w:szCs w:val="24"/>
        </w:rPr>
        <w:t xml:space="preserve">  </w:t>
      </w:r>
      <w:r w:rsidR="00852422" w:rsidRPr="00D94887">
        <w:rPr>
          <w:b/>
          <w:sz w:val="24"/>
          <w:szCs w:val="24"/>
        </w:rPr>
        <w:t xml:space="preserve">Any community than cannot afford any loan component or that receives the next higher tier (or higher) of potential subsidy as laid out in table above, will be required to conduct and implement a rate study as a condition for receiving </w:t>
      </w:r>
      <w:r w:rsidR="00D94887">
        <w:rPr>
          <w:b/>
          <w:sz w:val="24"/>
          <w:szCs w:val="24"/>
        </w:rPr>
        <w:t xml:space="preserve">additional </w:t>
      </w:r>
      <w:r w:rsidR="00852422" w:rsidRPr="00D94887">
        <w:rPr>
          <w:b/>
          <w:sz w:val="24"/>
          <w:szCs w:val="24"/>
        </w:rPr>
        <w:t>subsidy.</w:t>
      </w:r>
    </w:p>
    <w:p w14:paraId="5010BE0D" w14:textId="32C3B2B5" w:rsidR="00D01E3D" w:rsidRPr="00852422" w:rsidRDefault="00D01E3D" w:rsidP="00852422">
      <w:pPr>
        <w:spacing w:after="0" w:line="240" w:lineRule="auto"/>
        <w:jc w:val="both"/>
        <w:rPr>
          <w:sz w:val="24"/>
          <w:szCs w:val="24"/>
        </w:rPr>
      </w:pPr>
    </w:p>
    <w:sectPr w:rsidR="00D01E3D" w:rsidRPr="00852422" w:rsidSect="00E13BDE">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F5E3A" w14:textId="77777777" w:rsidR="00D94887" w:rsidRDefault="00D94887" w:rsidP="00D94887">
      <w:pPr>
        <w:spacing w:after="0" w:line="240" w:lineRule="auto"/>
      </w:pPr>
      <w:r>
        <w:separator/>
      </w:r>
    </w:p>
  </w:endnote>
  <w:endnote w:type="continuationSeparator" w:id="0">
    <w:p w14:paraId="2CF9205F" w14:textId="77777777" w:rsidR="00D94887" w:rsidRDefault="00D94887" w:rsidP="00D9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C124" w14:textId="77777777" w:rsidR="00D94887" w:rsidRDefault="00D9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E040" w14:textId="77777777" w:rsidR="00D94887" w:rsidRDefault="00D9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4063" w14:textId="77777777" w:rsidR="00D94887" w:rsidRDefault="00D9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946F" w14:textId="77777777" w:rsidR="00D94887" w:rsidRDefault="00D94887" w:rsidP="00D94887">
      <w:pPr>
        <w:spacing w:after="0" w:line="240" w:lineRule="auto"/>
      </w:pPr>
      <w:r>
        <w:separator/>
      </w:r>
    </w:p>
  </w:footnote>
  <w:footnote w:type="continuationSeparator" w:id="0">
    <w:p w14:paraId="31EE9EF7" w14:textId="77777777" w:rsidR="00D94887" w:rsidRDefault="00D94887" w:rsidP="00D9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27F9" w14:textId="77777777" w:rsidR="00D94887" w:rsidRDefault="00D9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28145"/>
      <w:docPartObj>
        <w:docPartGallery w:val="Watermarks"/>
        <w:docPartUnique/>
      </w:docPartObj>
    </w:sdtPr>
    <w:sdtContent>
      <w:p w14:paraId="0EBEC241" w14:textId="75513E66" w:rsidR="00D94887" w:rsidRDefault="00937336">
        <w:pPr>
          <w:pStyle w:val="Header"/>
        </w:pPr>
        <w:r>
          <w:rPr>
            <w:noProof/>
          </w:rPr>
          <w:pict w14:anchorId="480A1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60AD" w14:textId="77777777" w:rsidR="00D94887" w:rsidRDefault="00D94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20"/>
    <w:rsid w:val="001243DE"/>
    <w:rsid w:val="0018169E"/>
    <w:rsid w:val="0019279E"/>
    <w:rsid w:val="001A6E03"/>
    <w:rsid w:val="001B2B88"/>
    <w:rsid w:val="00282F20"/>
    <w:rsid w:val="00295048"/>
    <w:rsid w:val="002E5168"/>
    <w:rsid w:val="002E75C4"/>
    <w:rsid w:val="003A33D6"/>
    <w:rsid w:val="003A4772"/>
    <w:rsid w:val="004B5E37"/>
    <w:rsid w:val="004F75E4"/>
    <w:rsid w:val="00636C16"/>
    <w:rsid w:val="00683525"/>
    <w:rsid w:val="007D70F7"/>
    <w:rsid w:val="00852422"/>
    <w:rsid w:val="008A678B"/>
    <w:rsid w:val="008F259A"/>
    <w:rsid w:val="00937336"/>
    <w:rsid w:val="00A92A60"/>
    <w:rsid w:val="00AD211E"/>
    <w:rsid w:val="00AF41FF"/>
    <w:rsid w:val="00AF716D"/>
    <w:rsid w:val="00B7077B"/>
    <w:rsid w:val="00BE6F2D"/>
    <w:rsid w:val="00C83E85"/>
    <w:rsid w:val="00D01E3D"/>
    <w:rsid w:val="00D76BBF"/>
    <w:rsid w:val="00D94887"/>
    <w:rsid w:val="00E13BDE"/>
    <w:rsid w:val="00E24415"/>
    <w:rsid w:val="00EE7F56"/>
    <w:rsid w:val="00F5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C64E75"/>
  <w15:chartTrackingRefBased/>
  <w15:docId w15:val="{137D0E7E-1C97-4DF8-9105-5B9B596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6BB"/>
    <w:rPr>
      <w:sz w:val="16"/>
      <w:szCs w:val="16"/>
    </w:rPr>
  </w:style>
  <w:style w:type="paragraph" w:styleId="CommentText">
    <w:name w:val="annotation text"/>
    <w:basedOn w:val="Normal"/>
    <w:link w:val="CommentTextChar"/>
    <w:uiPriority w:val="99"/>
    <w:semiHidden/>
    <w:unhideWhenUsed/>
    <w:rsid w:val="00F526BB"/>
    <w:pPr>
      <w:spacing w:line="240" w:lineRule="auto"/>
    </w:pPr>
    <w:rPr>
      <w:sz w:val="20"/>
      <w:szCs w:val="20"/>
    </w:rPr>
  </w:style>
  <w:style w:type="character" w:customStyle="1" w:styleId="CommentTextChar">
    <w:name w:val="Comment Text Char"/>
    <w:basedOn w:val="DefaultParagraphFont"/>
    <w:link w:val="CommentText"/>
    <w:uiPriority w:val="99"/>
    <w:semiHidden/>
    <w:rsid w:val="00F526BB"/>
    <w:rPr>
      <w:sz w:val="20"/>
      <w:szCs w:val="20"/>
    </w:rPr>
  </w:style>
  <w:style w:type="paragraph" w:styleId="CommentSubject">
    <w:name w:val="annotation subject"/>
    <w:basedOn w:val="CommentText"/>
    <w:next w:val="CommentText"/>
    <w:link w:val="CommentSubjectChar"/>
    <w:uiPriority w:val="99"/>
    <w:semiHidden/>
    <w:unhideWhenUsed/>
    <w:rsid w:val="00F526BB"/>
    <w:rPr>
      <w:b/>
      <w:bCs/>
    </w:rPr>
  </w:style>
  <w:style w:type="character" w:customStyle="1" w:styleId="CommentSubjectChar">
    <w:name w:val="Comment Subject Char"/>
    <w:basedOn w:val="CommentTextChar"/>
    <w:link w:val="CommentSubject"/>
    <w:uiPriority w:val="99"/>
    <w:semiHidden/>
    <w:rsid w:val="00F526BB"/>
    <w:rPr>
      <w:b/>
      <w:bCs/>
      <w:sz w:val="20"/>
      <w:szCs w:val="20"/>
    </w:rPr>
  </w:style>
  <w:style w:type="paragraph" w:styleId="BalloonText">
    <w:name w:val="Balloon Text"/>
    <w:basedOn w:val="Normal"/>
    <w:link w:val="BalloonTextChar"/>
    <w:uiPriority w:val="99"/>
    <w:semiHidden/>
    <w:unhideWhenUsed/>
    <w:rsid w:val="00F52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BB"/>
    <w:rPr>
      <w:rFonts w:ascii="Segoe UI" w:hAnsi="Segoe UI" w:cs="Segoe UI"/>
      <w:sz w:val="18"/>
      <w:szCs w:val="18"/>
    </w:rPr>
  </w:style>
  <w:style w:type="paragraph" w:styleId="Revision">
    <w:name w:val="Revision"/>
    <w:hidden/>
    <w:uiPriority w:val="99"/>
    <w:semiHidden/>
    <w:rsid w:val="00683525"/>
    <w:pPr>
      <w:spacing w:after="0" w:line="240" w:lineRule="auto"/>
    </w:pPr>
  </w:style>
  <w:style w:type="character" w:styleId="Hyperlink">
    <w:name w:val="Hyperlink"/>
    <w:basedOn w:val="DefaultParagraphFont"/>
    <w:uiPriority w:val="99"/>
    <w:unhideWhenUsed/>
    <w:rsid w:val="001A6E03"/>
    <w:rPr>
      <w:color w:val="0563C1" w:themeColor="hyperlink"/>
      <w:u w:val="single"/>
    </w:rPr>
  </w:style>
  <w:style w:type="paragraph" w:styleId="Header">
    <w:name w:val="header"/>
    <w:basedOn w:val="Normal"/>
    <w:link w:val="HeaderChar"/>
    <w:uiPriority w:val="99"/>
    <w:unhideWhenUsed/>
    <w:rsid w:val="00D9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887"/>
  </w:style>
  <w:style w:type="paragraph" w:styleId="Footer">
    <w:name w:val="footer"/>
    <w:basedOn w:val="Normal"/>
    <w:link w:val="FooterChar"/>
    <w:uiPriority w:val="99"/>
    <w:unhideWhenUsed/>
    <w:rsid w:val="00D9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q.louisiana.gov/page/clean-water-state-revolving-fund-iup-priority-list-annual-repor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FF2-5E4B-4FE4-BC8E-012E00FD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Templet</dc:creator>
  <cp:keywords/>
  <dc:description/>
  <cp:lastModifiedBy>Scott Templet</cp:lastModifiedBy>
  <cp:revision>5</cp:revision>
  <dcterms:created xsi:type="dcterms:W3CDTF">2023-05-25T16:12:00Z</dcterms:created>
  <dcterms:modified xsi:type="dcterms:W3CDTF">2023-05-31T19:02:00Z</dcterms:modified>
</cp:coreProperties>
</file>