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13" w:rsidRDefault="00F77013" w:rsidP="00CB5331">
      <w:pPr>
        <w:spacing w:after="0" w:line="240" w:lineRule="auto"/>
        <w:jc w:val="center"/>
        <w:rPr>
          <w:rFonts w:ascii="Times New Roman" w:hAnsi="Times New Roman" w:cs="Times New Roman"/>
          <w:b/>
          <w:sz w:val="24"/>
          <w:szCs w:val="24"/>
        </w:rPr>
      </w:pPr>
      <w:bookmarkStart w:id="0" w:name="_GoBack"/>
      <w:bookmarkEnd w:id="0"/>
    </w:p>
    <w:p w:rsidR="00F77013" w:rsidRDefault="00F77013" w:rsidP="00CB5331">
      <w:pPr>
        <w:spacing w:after="0" w:line="240" w:lineRule="auto"/>
        <w:jc w:val="center"/>
        <w:rPr>
          <w:rFonts w:ascii="Times New Roman" w:hAnsi="Times New Roman" w:cs="Times New Roman"/>
          <w:b/>
          <w:sz w:val="24"/>
          <w:szCs w:val="24"/>
        </w:rPr>
      </w:pPr>
    </w:p>
    <w:p w:rsidR="00F77013" w:rsidRPr="00F77013" w:rsidRDefault="00F77013" w:rsidP="00F77013">
      <w:pPr>
        <w:pStyle w:val="Title"/>
        <w:spacing w:after="0"/>
        <w:rPr>
          <w:sz w:val="24"/>
          <w:szCs w:val="24"/>
        </w:rPr>
      </w:pPr>
      <w:r w:rsidRPr="00F77013">
        <w:rPr>
          <w:sz w:val="24"/>
          <w:szCs w:val="24"/>
        </w:rPr>
        <w:t>NOTICE OF INTENT</w:t>
      </w:r>
    </w:p>
    <w:p w:rsidR="00F77013" w:rsidRPr="00F77013" w:rsidRDefault="00F77013" w:rsidP="00F77013">
      <w:pPr>
        <w:spacing w:after="0" w:line="240" w:lineRule="auto"/>
        <w:jc w:val="center"/>
        <w:rPr>
          <w:rFonts w:ascii="Times New Roman" w:hAnsi="Times New Roman" w:cs="Times New Roman"/>
          <w:sz w:val="24"/>
          <w:szCs w:val="24"/>
        </w:rPr>
      </w:pPr>
    </w:p>
    <w:p w:rsidR="00F77013" w:rsidRPr="00F77013" w:rsidRDefault="00F77013" w:rsidP="00F77013">
      <w:pPr>
        <w:spacing w:after="0" w:line="240" w:lineRule="auto"/>
        <w:jc w:val="center"/>
        <w:rPr>
          <w:rFonts w:ascii="Times New Roman" w:hAnsi="Times New Roman" w:cs="Times New Roman"/>
          <w:sz w:val="24"/>
          <w:szCs w:val="24"/>
        </w:rPr>
      </w:pPr>
      <w:r w:rsidRPr="00F77013">
        <w:rPr>
          <w:rFonts w:ascii="Times New Roman" w:hAnsi="Times New Roman" w:cs="Times New Roman"/>
          <w:sz w:val="24"/>
          <w:szCs w:val="24"/>
        </w:rPr>
        <w:t>Department of Environmental Quality</w:t>
      </w:r>
    </w:p>
    <w:p w:rsidR="00F77013" w:rsidRPr="00F77013" w:rsidRDefault="00F77013" w:rsidP="00F77013">
      <w:pPr>
        <w:spacing w:after="0" w:line="240" w:lineRule="auto"/>
        <w:jc w:val="center"/>
        <w:rPr>
          <w:rFonts w:ascii="Times New Roman" w:hAnsi="Times New Roman" w:cs="Times New Roman"/>
          <w:sz w:val="24"/>
          <w:szCs w:val="24"/>
        </w:rPr>
      </w:pPr>
      <w:r w:rsidRPr="00F77013">
        <w:rPr>
          <w:rFonts w:ascii="Times New Roman" w:hAnsi="Times New Roman" w:cs="Times New Roman"/>
          <w:sz w:val="24"/>
          <w:szCs w:val="24"/>
        </w:rPr>
        <w:t>Office of the Secretary</w:t>
      </w:r>
    </w:p>
    <w:p w:rsidR="00F77013" w:rsidRPr="00F77013" w:rsidRDefault="00F77013" w:rsidP="00F77013">
      <w:pPr>
        <w:spacing w:after="0" w:line="240" w:lineRule="auto"/>
        <w:jc w:val="center"/>
        <w:rPr>
          <w:rFonts w:ascii="Times New Roman" w:hAnsi="Times New Roman" w:cs="Times New Roman"/>
          <w:sz w:val="24"/>
          <w:szCs w:val="24"/>
        </w:rPr>
      </w:pPr>
      <w:r w:rsidRPr="00F77013">
        <w:rPr>
          <w:rFonts w:ascii="Times New Roman" w:hAnsi="Times New Roman" w:cs="Times New Roman"/>
          <w:sz w:val="24"/>
          <w:szCs w:val="24"/>
        </w:rPr>
        <w:t>Legal Division</w:t>
      </w:r>
    </w:p>
    <w:p w:rsidR="00F77013" w:rsidRPr="00F77013" w:rsidRDefault="00F77013" w:rsidP="00F77013">
      <w:pPr>
        <w:spacing w:after="0" w:line="240" w:lineRule="auto"/>
        <w:jc w:val="center"/>
        <w:rPr>
          <w:rFonts w:ascii="Times New Roman" w:hAnsi="Times New Roman" w:cs="Times New Roman"/>
          <w:sz w:val="24"/>
          <w:szCs w:val="24"/>
        </w:rPr>
      </w:pPr>
    </w:p>
    <w:p w:rsidR="00F77013" w:rsidRPr="00F77013" w:rsidRDefault="00F77013" w:rsidP="00F77013">
      <w:pPr>
        <w:spacing w:after="0" w:line="240" w:lineRule="auto"/>
        <w:jc w:val="center"/>
        <w:rPr>
          <w:rFonts w:ascii="Times New Roman" w:hAnsi="Times New Roman" w:cs="Times New Roman"/>
          <w:sz w:val="24"/>
          <w:szCs w:val="24"/>
        </w:rPr>
      </w:pPr>
      <w:r w:rsidRPr="00F77013">
        <w:rPr>
          <w:rFonts w:ascii="Times New Roman" w:hAnsi="Times New Roman" w:cs="Times New Roman"/>
          <w:noProof/>
          <w:sz w:val="24"/>
          <w:szCs w:val="24"/>
        </w:rPr>
        <w:t>Name Change for Hazardous Waste Delisting - Denka Performance Elastomers LLC</w:t>
      </w:r>
    </w:p>
    <w:p w:rsidR="00F77013" w:rsidRPr="00F77013" w:rsidRDefault="00F77013" w:rsidP="00F77013">
      <w:pPr>
        <w:spacing w:after="0" w:line="240" w:lineRule="auto"/>
        <w:jc w:val="center"/>
        <w:rPr>
          <w:rFonts w:ascii="Times New Roman" w:hAnsi="Times New Roman" w:cs="Times New Roman"/>
          <w:sz w:val="24"/>
          <w:szCs w:val="24"/>
        </w:rPr>
      </w:pPr>
      <w:r w:rsidRPr="00F77013">
        <w:rPr>
          <w:rFonts w:ascii="Times New Roman" w:hAnsi="Times New Roman" w:cs="Times New Roman"/>
          <w:sz w:val="24"/>
          <w:szCs w:val="24"/>
        </w:rPr>
        <w:t>(</w:t>
      </w:r>
      <w:r w:rsidRPr="00F77013">
        <w:rPr>
          <w:rFonts w:ascii="Times New Roman" w:hAnsi="Times New Roman" w:cs="Times New Roman"/>
          <w:noProof/>
          <w:sz w:val="24"/>
          <w:szCs w:val="24"/>
        </w:rPr>
        <w:t>LAC 33:V.4999.Appendix E</w:t>
      </w:r>
      <w:r w:rsidRPr="00F77013">
        <w:rPr>
          <w:rFonts w:ascii="Times New Roman" w:hAnsi="Times New Roman" w:cs="Times New Roman"/>
          <w:sz w:val="24"/>
          <w:szCs w:val="24"/>
        </w:rPr>
        <w:t>) (</w:t>
      </w:r>
      <w:r w:rsidRPr="00F77013">
        <w:rPr>
          <w:rFonts w:ascii="Times New Roman" w:hAnsi="Times New Roman" w:cs="Times New Roman"/>
          <w:noProof/>
          <w:sz w:val="24"/>
          <w:szCs w:val="24"/>
        </w:rPr>
        <w:t>HW121</w:t>
      </w:r>
      <w:r w:rsidRPr="00F77013">
        <w:rPr>
          <w:rFonts w:ascii="Times New Roman" w:hAnsi="Times New Roman" w:cs="Times New Roman"/>
          <w:sz w:val="24"/>
          <w:szCs w:val="24"/>
        </w:rPr>
        <w:t>)</w:t>
      </w:r>
    </w:p>
    <w:p w:rsidR="00F77013" w:rsidRPr="00F77013" w:rsidRDefault="00F77013" w:rsidP="00F77013">
      <w:pPr>
        <w:spacing w:after="0" w:line="240" w:lineRule="auto"/>
        <w:jc w:val="center"/>
        <w:rPr>
          <w:rFonts w:ascii="Times New Roman" w:hAnsi="Times New Roman" w:cs="Times New Roman"/>
          <w:sz w:val="24"/>
          <w:szCs w:val="24"/>
        </w:rPr>
      </w:pPr>
    </w:p>
    <w:p w:rsidR="00F77013" w:rsidRPr="00F77013" w:rsidRDefault="00F77013" w:rsidP="00F77013">
      <w:pPr>
        <w:spacing w:after="0" w:line="240" w:lineRule="auto"/>
        <w:rPr>
          <w:rFonts w:ascii="Times New Roman" w:hAnsi="Times New Roman" w:cs="Times New Roman"/>
          <w:sz w:val="24"/>
          <w:szCs w:val="24"/>
        </w:rPr>
      </w:pPr>
      <w:r w:rsidRPr="00F77013">
        <w:rPr>
          <w:rFonts w:ascii="Times New Roman" w:hAnsi="Times New Roman" w:cs="Times New Roman"/>
          <w:sz w:val="24"/>
          <w:szCs w:val="24"/>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F77013">
        <w:rPr>
          <w:rFonts w:ascii="Times New Roman" w:hAnsi="Times New Roman" w:cs="Times New Roman"/>
          <w:noProof/>
          <w:sz w:val="24"/>
          <w:szCs w:val="24"/>
        </w:rPr>
        <w:t>Hazardous Waste</w:t>
      </w:r>
      <w:r w:rsidRPr="00F77013">
        <w:rPr>
          <w:rFonts w:ascii="Times New Roman" w:hAnsi="Times New Roman" w:cs="Times New Roman"/>
          <w:sz w:val="24"/>
          <w:szCs w:val="24"/>
        </w:rPr>
        <w:t xml:space="preserve"> regulations, </w:t>
      </w:r>
      <w:r w:rsidRPr="00F77013">
        <w:rPr>
          <w:rFonts w:ascii="Times New Roman" w:hAnsi="Times New Roman" w:cs="Times New Roman"/>
          <w:noProof/>
          <w:sz w:val="24"/>
          <w:szCs w:val="24"/>
        </w:rPr>
        <w:t>LAC 33:V.4999.Appendix E</w:t>
      </w:r>
      <w:r w:rsidRPr="00F77013">
        <w:rPr>
          <w:rFonts w:ascii="Times New Roman" w:hAnsi="Times New Roman" w:cs="Times New Roman"/>
          <w:sz w:val="24"/>
          <w:szCs w:val="24"/>
        </w:rPr>
        <w:t xml:space="preserve"> (</w:t>
      </w:r>
      <w:r w:rsidRPr="00F77013">
        <w:rPr>
          <w:rFonts w:ascii="Times New Roman" w:hAnsi="Times New Roman" w:cs="Times New Roman"/>
          <w:noProof/>
          <w:sz w:val="24"/>
          <w:szCs w:val="24"/>
        </w:rPr>
        <w:t>HW121</w:t>
      </w:r>
      <w:r w:rsidRPr="00F77013">
        <w:rPr>
          <w:rFonts w:ascii="Times New Roman" w:hAnsi="Times New Roman" w:cs="Times New Roman"/>
          <w:sz w:val="24"/>
          <w:szCs w:val="24"/>
        </w:rPr>
        <w:t>).</w:t>
      </w:r>
    </w:p>
    <w:p w:rsidR="00F77013" w:rsidRPr="00F77013" w:rsidRDefault="00F77013" w:rsidP="00F77013">
      <w:pPr>
        <w:spacing w:after="0" w:line="240" w:lineRule="auto"/>
        <w:rPr>
          <w:rFonts w:ascii="Times New Roman" w:hAnsi="Times New Roman" w:cs="Times New Roman"/>
          <w:sz w:val="24"/>
          <w:szCs w:val="24"/>
        </w:rPr>
      </w:pPr>
    </w:p>
    <w:p w:rsidR="00F77013" w:rsidRPr="00F77013" w:rsidRDefault="00F77013" w:rsidP="00F77013">
      <w:pPr>
        <w:spacing w:after="0" w:line="240" w:lineRule="auto"/>
        <w:rPr>
          <w:rFonts w:ascii="Times New Roman" w:hAnsi="Times New Roman" w:cs="Times New Roman"/>
          <w:sz w:val="24"/>
          <w:szCs w:val="24"/>
        </w:rPr>
      </w:pPr>
      <w:r w:rsidRPr="00F77013">
        <w:rPr>
          <w:rFonts w:ascii="Times New Roman" w:hAnsi="Times New Roman" w:cs="Times New Roman"/>
          <w:sz w:val="24"/>
          <w:szCs w:val="24"/>
        </w:rPr>
        <w:tab/>
      </w:r>
      <w:r w:rsidRPr="00F77013">
        <w:rPr>
          <w:rFonts w:ascii="Times New Roman" w:hAnsi="Times New Roman" w:cs="Times New Roman"/>
          <w:noProof/>
          <w:sz w:val="24"/>
          <w:szCs w:val="24"/>
        </w:rPr>
        <w:t>This rule is a name change for a hazardous waste delisting of Dynawave Scrubber Effluent, which was approved and promulgated under DuPont/Dow Elastomers LLC on December 20, 1999.  This rule is to acknowledge an ownership change effective October 1, 2015 from former E.I. DuPont de Nemours &amp; Co. Neoprene located in LaPlace, Louisiana to Denka Performance Elastomer LLC.</w:t>
      </w:r>
      <w:r w:rsidRPr="00F77013">
        <w:rPr>
          <w:rFonts w:ascii="Times New Roman" w:hAnsi="Times New Roman" w:cs="Times New Roman"/>
          <w:sz w:val="24"/>
          <w:szCs w:val="24"/>
        </w:rPr>
        <w:t xml:space="preserve">  </w:t>
      </w:r>
      <w:r w:rsidRPr="00F77013">
        <w:rPr>
          <w:rFonts w:ascii="Times New Roman" w:hAnsi="Times New Roman" w:cs="Times New Roman"/>
          <w:noProof/>
          <w:sz w:val="24"/>
          <w:szCs w:val="24"/>
        </w:rPr>
        <w:t>The basis and rationale for this action is a routine change in ownership of a facility generating the delisted waste.</w:t>
      </w:r>
      <w:r w:rsidRPr="00F77013">
        <w:rPr>
          <w:rFonts w:ascii="Times New Roman" w:hAnsi="Times New Roman" w:cs="Times New Roman"/>
          <w:sz w:val="24"/>
          <w:szCs w:val="24"/>
        </w:rPr>
        <w:t xml:space="preserve">  This Rule meets an exception listed in R.S. 30:2019(D</w:t>
      </w:r>
      <w:proofErr w:type="gramStart"/>
      <w:r w:rsidRPr="00F77013">
        <w:rPr>
          <w:rFonts w:ascii="Times New Roman" w:hAnsi="Times New Roman" w:cs="Times New Roman"/>
          <w:sz w:val="24"/>
          <w:szCs w:val="24"/>
        </w:rPr>
        <w:t>)(</w:t>
      </w:r>
      <w:proofErr w:type="gramEnd"/>
      <w:r w:rsidRPr="00F77013">
        <w:rPr>
          <w:rFonts w:ascii="Times New Roman" w:hAnsi="Times New Roman" w:cs="Times New Roman"/>
          <w:sz w:val="24"/>
          <w:szCs w:val="24"/>
        </w:rPr>
        <w:t xml:space="preserve">2) and R.S. 49:953(G)(3); therefore, no report regarding environmental/health benefits and social/economic costs is required.  </w:t>
      </w:r>
    </w:p>
    <w:p w:rsidR="00F77013" w:rsidRPr="00F77013" w:rsidRDefault="00F77013" w:rsidP="00F77013">
      <w:pPr>
        <w:spacing w:after="0" w:line="240" w:lineRule="auto"/>
        <w:rPr>
          <w:rFonts w:ascii="Times New Roman" w:hAnsi="Times New Roman" w:cs="Times New Roman"/>
          <w:sz w:val="24"/>
          <w:szCs w:val="24"/>
        </w:rPr>
      </w:pPr>
    </w:p>
    <w:p w:rsidR="00F77013" w:rsidRPr="00F77013" w:rsidRDefault="00F77013" w:rsidP="00F77013">
      <w:pPr>
        <w:spacing w:after="0" w:line="240" w:lineRule="auto"/>
        <w:ind w:firstLine="720"/>
        <w:rPr>
          <w:rFonts w:ascii="Times New Roman" w:hAnsi="Times New Roman" w:cs="Times New Roman"/>
          <w:sz w:val="24"/>
          <w:szCs w:val="24"/>
        </w:rPr>
      </w:pPr>
      <w:r w:rsidRPr="00F77013">
        <w:rPr>
          <w:rFonts w:ascii="Times New Roman" w:hAnsi="Times New Roman" w:cs="Times New Roman"/>
          <w:sz w:val="24"/>
          <w:szCs w:val="24"/>
        </w:rPr>
        <w:t xml:space="preserve">This Rule has no known impact on family formation, stability, and autonomy as described in R.S. 49:972. </w:t>
      </w:r>
    </w:p>
    <w:p w:rsidR="00F77013" w:rsidRPr="00F77013" w:rsidRDefault="00F77013" w:rsidP="00F77013">
      <w:pPr>
        <w:spacing w:after="0" w:line="240" w:lineRule="auto"/>
        <w:ind w:firstLine="720"/>
        <w:rPr>
          <w:rFonts w:ascii="Times New Roman" w:hAnsi="Times New Roman" w:cs="Times New Roman"/>
          <w:sz w:val="24"/>
          <w:szCs w:val="24"/>
        </w:rPr>
      </w:pPr>
    </w:p>
    <w:p w:rsidR="00F77013" w:rsidRPr="00F77013" w:rsidRDefault="00F77013" w:rsidP="00F77013">
      <w:pPr>
        <w:spacing w:after="0" w:line="240" w:lineRule="auto"/>
        <w:ind w:firstLine="720"/>
        <w:rPr>
          <w:rFonts w:ascii="Times New Roman" w:hAnsi="Times New Roman" w:cs="Times New Roman"/>
          <w:color w:val="000000"/>
          <w:sz w:val="24"/>
          <w:szCs w:val="24"/>
        </w:rPr>
      </w:pPr>
      <w:r w:rsidRPr="00F77013">
        <w:rPr>
          <w:rFonts w:ascii="Times New Roman" w:hAnsi="Times New Roman" w:cs="Times New Roman"/>
          <w:sz w:val="24"/>
          <w:szCs w:val="24"/>
        </w:rPr>
        <w:t xml:space="preserve">This Rule has no known impact on </w:t>
      </w:r>
      <w:r w:rsidRPr="00F77013">
        <w:rPr>
          <w:rFonts w:ascii="Times New Roman" w:hAnsi="Times New Roman" w:cs="Times New Roman"/>
          <w:color w:val="000000"/>
          <w:sz w:val="24"/>
          <w:szCs w:val="24"/>
        </w:rPr>
        <w:t>poverty as described in R.S. 49:973.</w:t>
      </w:r>
    </w:p>
    <w:p w:rsidR="00F77013" w:rsidRPr="00F77013" w:rsidRDefault="00F77013" w:rsidP="00F77013">
      <w:pPr>
        <w:spacing w:after="0" w:line="240" w:lineRule="auto"/>
        <w:ind w:firstLine="720"/>
        <w:rPr>
          <w:rFonts w:ascii="Times New Roman" w:hAnsi="Times New Roman" w:cs="Times New Roman"/>
          <w:color w:val="000000"/>
          <w:sz w:val="24"/>
          <w:szCs w:val="24"/>
        </w:rPr>
      </w:pPr>
    </w:p>
    <w:p w:rsidR="00F77013" w:rsidRPr="00F77013" w:rsidRDefault="00F77013" w:rsidP="00F77013">
      <w:pPr>
        <w:spacing w:after="0" w:line="240" w:lineRule="auto"/>
        <w:ind w:firstLine="720"/>
        <w:rPr>
          <w:rFonts w:ascii="Times New Roman" w:hAnsi="Times New Roman" w:cs="Times New Roman"/>
          <w:sz w:val="24"/>
          <w:szCs w:val="24"/>
        </w:rPr>
      </w:pPr>
      <w:r w:rsidRPr="00F77013">
        <w:rPr>
          <w:rFonts w:ascii="Times New Roman" w:hAnsi="Times New Roman" w:cs="Times New Roman"/>
          <w:color w:val="000000"/>
          <w:sz w:val="24"/>
          <w:szCs w:val="24"/>
        </w:rPr>
        <w:t>This Rule has no known impact on providers as described in HCR 170 of 2014.</w:t>
      </w:r>
    </w:p>
    <w:p w:rsidR="00F77013" w:rsidRPr="00F77013" w:rsidRDefault="00F77013" w:rsidP="00F77013">
      <w:pPr>
        <w:spacing w:after="0" w:line="240" w:lineRule="auto"/>
        <w:rPr>
          <w:rFonts w:ascii="Times New Roman" w:hAnsi="Times New Roman" w:cs="Times New Roman"/>
          <w:sz w:val="24"/>
          <w:szCs w:val="24"/>
        </w:rPr>
      </w:pPr>
    </w:p>
    <w:p w:rsidR="00F77013" w:rsidRPr="00F77013" w:rsidRDefault="00F77013" w:rsidP="00F77013">
      <w:pPr>
        <w:spacing w:after="0" w:line="240" w:lineRule="auto"/>
        <w:rPr>
          <w:rFonts w:ascii="Times New Roman" w:hAnsi="Times New Roman" w:cs="Times New Roman"/>
          <w:sz w:val="24"/>
          <w:szCs w:val="24"/>
        </w:rPr>
      </w:pPr>
      <w:r w:rsidRPr="00F77013">
        <w:rPr>
          <w:rFonts w:ascii="Times New Roman" w:hAnsi="Times New Roman" w:cs="Times New Roman"/>
          <w:sz w:val="24"/>
          <w:szCs w:val="24"/>
        </w:rPr>
        <w:tab/>
        <w:t xml:space="preserve">A public hearing will be held on </w:t>
      </w:r>
      <w:r w:rsidRPr="00F77013">
        <w:rPr>
          <w:rFonts w:ascii="Times New Roman" w:hAnsi="Times New Roman" w:cs="Times New Roman"/>
          <w:noProof/>
          <w:sz w:val="24"/>
          <w:szCs w:val="24"/>
        </w:rPr>
        <w:t>September 28, 2016</w:t>
      </w:r>
      <w:r w:rsidRPr="00F77013">
        <w:rPr>
          <w:rFonts w:ascii="Times New Roman" w:hAnsi="Times New Roman" w:cs="Times New Roman"/>
          <w:sz w:val="24"/>
          <w:szCs w:val="24"/>
        </w:rPr>
        <w:t xml:space="preserve">, at 1:30 p.m. in the Galvez Building, Oliver Pollock Conference Room, </w:t>
      </w:r>
      <w:proofErr w:type="gramStart"/>
      <w:r w:rsidRPr="00F77013">
        <w:rPr>
          <w:rFonts w:ascii="Times New Roman" w:hAnsi="Times New Roman" w:cs="Times New Roman"/>
          <w:sz w:val="24"/>
          <w:szCs w:val="24"/>
        </w:rPr>
        <w:t>602</w:t>
      </w:r>
      <w:proofErr w:type="gramEnd"/>
      <w:r w:rsidRPr="00F77013">
        <w:rPr>
          <w:rFonts w:ascii="Times New Roman" w:hAnsi="Times New Roman" w:cs="Times New Roman"/>
          <w:sz w:val="24"/>
          <w:szCs w:val="24"/>
        </w:rPr>
        <w:t xml:space="preserve"> N. Fifth Street, Baton Rouge, LA 70802.  Interested persons are invited to attend and submit oral comments on the proposed amendments.  Should individuals with a disability need an accommodation in order to participate, contact Deidra Johnson at the address given below or at (225) 219-</w:t>
      </w:r>
      <w:proofErr w:type="gramStart"/>
      <w:r w:rsidRPr="00F77013">
        <w:rPr>
          <w:rFonts w:ascii="Times New Roman" w:hAnsi="Times New Roman" w:cs="Times New Roman"/>
          <w:sz w:val="24"/>
          <w:szCs w:val="24"/>
        </w:rPr>
        <w:t>3985.</w:t>
      </w:r>
      <w:proofErr w:type="gramEnd"/>
      <w:r w:rsidRPr="00F77013">
        <w:rPr>
          <w:rFonts w:ascii="Times New Roman" w:hAnsi="Times New Roman" w:cs="Times New Roman"/>
          <w:sz w:val="24"/>
          <w:szCs w:val="24"/>
        </w:rPr>
        <w:t xml:space="preserve">  Two hours of free parking are allowed in the Galvez Garage with a validated parking ticket.</w:t>
      </w:r>
    </w:p>
    <w:p w:rsidR="00F77013" w:rsidRPr="00F77013" w:rsidRDefault="00F77013" w:rsidP="00F77013">
      <w:pPr>
        <w:spacing w:after="0" w:line="240" w:lineRule="auto"/>
        <w:rPr>
          <w:rFonts w:ascii="Times New Roman" w:hAnsi="Times New Roman" w:cs="Times New Roman"/>
          <w:sz w:val="24"/>
          <w:szCs w:val="24"/>
        </w:rPr>
      </w:pPr>
    </w:p>
    <w:p w:rsidR="00F77013" w:rsidRPr="00F77013" w:rsidRDefault="00F77013" w:rsidP="00F77013">
      <w:pPr>
        <w:spacing w:after="0" w:line="240" w:lineRule="auto"/>
        <w:rPr>
          <w:rFonts w:ascii="Times New Roman" w:hAnsi="Times New Roman" w:cs="Times New Roman"/>
          <w:sz w:val="24"/>
          <w:szCs w:val="24"/>
        </w:rPr>
      </w:pPr>
      <w:r w:rsidRPr="00F77013">
        <w:rPr>
          <w:rFonts w:ascii="Times New Roman" w:hAnsi="Times New Roman" w:cs="Times New Roman"/>
          <w:sz w:val="24"/>
          <w:szCs w:val="24"/>
        </w:rPr>
        <w:tab/>
        <w:t xml:space="preserve">All interested persons are invited to submit written comments on the proposed regulation. Persons commenting should reference this proposed regulation by </w:t>
      </w:r>
      <w:r w:rsidRPr="00F77013">
        <w:rPr>
          <w:rFonts w:ascii="Times New Roman" w:hAnsi="Times New Roman" w:cs="Times New Roman"/>
          <w:noProof/>
          <w:sz w:val="24"/>
          <w:szCs w:val="24"/>
        </w:rPr>
        <w:t>HW121</w:t>
      </w:r>
      <w:r w:rsidRPr="00F77013">
        <w:rPr>
          <w:rFonts w:ascii="Times New Roman" w:hAnsi="Times New Roman" w:cs="Times New Roman"/>
          <w:sz w:val="24"/>
          <w:szCs w:val="24"/>
        </w:rPr>
        <w:t xml:space="preserve">.  Such comments must be received no later than </w:t>
      </w:r>
      <w:r w:rsidRPr="00F77013">
        <w:rPr>
          <w:rFonts w:ascii="Times New Roman" w:hAnsi="Times New Roman" w:cs="Times New Roman"/>
          <w:noProof/>
          <w:sz w:val="24"/>
          <w:szCs w:val="24"/>
        </w:rPr>
        <w:t>October 5, 2016</w:t>
      </w:r>
      <w:r w:rsidRPr="00F77013">
        <w:rPr>
          <w:rFonts w:ascii="Times New Roman" w:hAnsi="Times New Roman" w:cs="Times New Roman"/>
          <w:sz w:val="24"/>
          <w:szCs w:val="24"/>
        </w:rPr>
        <w:t xml:space="preserve">, at 4:30 p.m., and should be sent to Deidra Johnson, Attorney Supervisor, Office of the Secretary, Legal Division, P.O. Box 4302, Baton Rouge, LA 70821-4302 or to </w:t>
      </w:r>
      <w:r w:rsidRPr="00F77013">
        <w:rPr>
          <w:rFonts w:ascii="Times New Roman" w:hAnsi="Times New Roman" w:cs="Times New Roman"/>
          <w:smallCaps/>
          <w:sz w:val="24"/>
          <w:szCs w:val="24"/>
        </w:rPr>
        <w:t>fax</w:t>
      </w:r>
      <w:r w:rsidRPr="00F77013">
        <w:rPr>
          <w:rFonts w:ascii="Times New Roman" w:hAnsi="Times New Roman" w:cs="Times New Roman"/>
          <w:sz w:val="24"/>
          <w:szCs w:val="24"/>
        </w:rPr>
        <w:t xml:space="preserve"> (225) 219-4068 or by e-mail to deidra.johnson@la.gov.  Copies of these proposed regulations can be purchased by contacting the DEQ Public Records Center at (225) 219-3168.  Check or money order is required in advance for each copy of </w:t>
      </w:r>
      <w:r w:rsidRPr="00F77013">
        <w:rPr>
          <w:rFonts w:ascii="Times New Roman" w:hAnsi="Times New Roman" w:cs="Times New Roman"/>
          <w:noProof/>
          <w:sz w:val="24"/>
          <w:szCs w:val="24"/>
        </w:rPr>
        <w:t>HW121</w:t>
      </w:r>
      <w:r w:rsidRPr="00F77013">
        <w:rPr>
          <w:rFonts w:ascii="Times New Roman" w:hAnsi="Times New Roman" w:cs="Times New Roman"/>
          <w:sz w:val="24"/>
          <w:szCs w:val="24"/>
        </w:rPr>
        <w:t xml:space="preserve">. These proposed regulations are available on the Internet at </w:t>
      </w:r>
      <w:hyperlink r:id="rId9" w:history="1">
        <w:r w:rsidRPr="00F77013">
          <w:rPr>
            <w:rStyle w:val="Hyperlink"/>
            <w:rFonts w:ascii="Times New Roman" w:hAnsi="Times New Roman" w:cs="Times New Roman"/>
            <w:color w:val="auto"/>
            <w:sz w:val="24"/>
            <w:szCs w:val="24"/>
          </w:rPr>
          <w:t>www.deq.louisiana.gov/portal/tabid/1669/default.aspx</w:t>
        </w:r>
      </w:hyperlink>
      <w:r w:rsidRPr="00F77013">
        <w:rPr>
          <w:rFonts w:ascii="Times New Roman" w:hAnsi="Times New Roman" w:cs="Times New Roman"/>
          <w:sz w:val="24"/>
          <w:szCs w:val="24"/>
        </w:rPr>
        <w:t>.</w:t>
      </w:r>
    </w:p>
    <w:p w:rsidR="00F77013" w:rsidRPr="00F77013" w:rsidRDefault="00F77013" w:rsidP="00F77013">
      <w:pPr>
        <w:spacing w:after="0" w:line="240" w:lineRule="auto"/>
        <w:rPr>
          <w:rFonts w:ascii="Times New Roman" w:hAnsi="Times New Roman" w:cs="Times New Roman"/>
          <w:sz w:val="24"/>
          <w:szCs w:val="24"/>
        </w:rPr>
      </w:pPr>
    </w:p>
    <w:p w:rsidR="00F77013" w:rsidRPr="00F77013" w:rsidRDefault="00F77013" w:rsidP="00F77013">
      <w:pPr>
        <w:spacing w:after="0" w:line="240" w:lineRule="auto"/>
        <w:rPr>
          <w:rFonts w:ascii="Times New Roman" w:hAnsi="Times New Roman" w:cs="Times New Roman"/>
          <w:sz w:val="24"/>
          <w:szCs w:val="24"/>
        </w:rPr>
      </w:pPr>
      <w:r w:rsidRPr="00F77013">
        <w:rPr>
          <w:rFonts w:ascii="Times New Roman" w:hAnsi="Times New Roman" w:cs="Times New Roman"/>
          <w:sz w:val="24"/>
          <w:szCs w:val="24"/>
        </w:rPr>
        <w:tab/>
        <w:t xml:space="preserve">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 111 New Center Drive, Lafayette, LA 70508; 110 </w:t>
      </w:r>
      <w:proofErr w:type="spellStart"/>
      <w:r w:rsidRPr="00F77013">
        <w:rPr>
          <w:rFonts w:ascii="Times New Roman" w:hAnsi="Times New Roman" w:cs="Times New Roman"/>
          <w:sz w:val="24"/>
          <w:szCs w:val="24"/>
        </w:rPr>
        <w:t>Barataria</w:t>
      </w:r>
      <w:proofErr w:type="spellEnd"/>
      <w:r w:rsidRPr="00F77013">
        <w:rPr>
          <w:rFonts w:ascii="Times New Roman" w:hAnsi="Times New Roman" w:cs="Times New Roman"/>
          <w:sz w:val="24"/>
          <w:szCs w:val="24"/>
        </w:rPr>
        <w:t xml:space="preserve"> Street, Lockport, LA 70374; 201 Evans Road, Bldg. 4, Suite 420, New Orleans, LA  70123.</w:t>
      </w:r>
    </w:p>
    <w:p w:rsidR="00F77013" w:rsidRPr="00F77013" w:rsidRDefault="00F77013" w:rsidP="00F77013">
      <w:pPr>
        <w:spacing w:after="0" w:line="240" w:lineRule="auto"/>
        <w:rPr>
          <w:rFonts w:ascii="Times New Roman" w:hAnsi="Times New Roman" w:cs="Times New Roman"/>
          <w:sz w:val="24"/>
          <w:szCs w:val="24"/>
        </w:rPr>
      </w:pPr>
    </w:p>
    <w:p w:rsidR="00F77013" w:rsidRPr="00F77013" w:rsidRDefault="00F77013" w:rsidP="00F77013">
      <w:pPr>
        <w:spacing w:after="0" w:line="240" w:lineRule="auto"/>
        <w:rPr>
          <w:rFonts w:ascii="Times New Roman" w:hAnsi="Times New Roman" w:cs="Times New Roman"/>
          <w:sz w:val="24"/>
          <w:szCs w:val="24"/>
        </w:rPr>
      </w:pPr>
      <w:r w:rsidRPr="00F77013">
        <w:rPr>
          <w:rFonts w:ascii="Times New Roman" w:hAnsi="Times New Roman" w:cs="Times New Roman"/>
          <w:sz w:val="24"/>
          <w:szCs w:val="24"/>
        </w:rPr>
        <w:tab/>
      </w:r>
      <w:r w:rsidRPr="00F77013">
        <w:rPr>
          <w:rFonts w:ascii="Times New Roman" w:hAnsi="Times New Roman" w:cs="Times New Roman"/>
          <w:sz w:val="24"/>
          <w:szCs w:val="24"/>
        </w:rPr>
        <w:tab/>
      </w:r>
      <w:r w:rsidRPr="00F77013">
        <w:rPr>
          <w:rFonts w:ascii="Times New Roman" w:hAnsi="Times New Roman" w:cs="Times New Roman"/>
          <w:sz w:val="24"/>
          <w:szCs w:val="24"/>
        </w:rPr>
        <w:tab/>
      </w:r>
      <w:r w:rsidRPr="00F77013">
        <w:rPr>
          <w:rFonts w:ascii="Times New Roman" w:hAnsi="Times New Roman" w:cs="Times New Roman"/>
          <w:sz w:val="24"/>
          <w:szCs w:val="24"/>
        </w:rPr>
        <w:tab/>
      </w:r>
      <w:r w:rsidRPr="00F77013">
        <w:rPr>
          <w:rFonts w:ascii="Times New Roman" w:hAnsi="Times New Roman" w:cs="Times New Roman"/>
          <w:sz w:val="24"/>
          <w:szCs w:val="24"/>
        </w:rPr>
        <w:tab/>
      </w:r>
      <w:r w:rsidRPr="00F77013">
        <w:rPr>
          <w:rFonts w:ascii="Times New Roman" w:hAnsi="Times New Roman" w:cs="Times New Roman"/>
          <w:sz w:val="24"/>
          <w:szCs w:val="24"/>
        </w:rPr>
        <w:tab/>
        <w:t>Herman Robinson</w:t>
      </w:r>
    </w:p>
    <w:p w:rsidR="00F77013" w:rsidRDefault="00F77013" w:rsidP="00F77013">
      <w:pPr>
        <w:spacing w:after="0" w:line="240" w:lineRule="auto"/>
      </w:pPr>
      <w:r w:rsidRPr="00F77013">
        <w:rPr>
          <w:rFonts w:ascii="Times New Roman" w:hAnsi="Times New Roman" w:cs="Times New Roman"/>
          <w:sz w:val="24"/>
          <w:szCs w:val="24"/>
        </w:rPr>
        <w:tab/>
      </w:r>
      <w:r w:rsidRPr="00F77013">
        <w:rPr>
          <w:rFonts w:ascii="Times New Roman" w:hAnsi="Times New Roman" w:cs="Times New Roman"/>
          <w:sz w:val="24"/>
          <w:szCs w:val="24"/>
        </w:rPr>
        <w:tab/>
      </w:r>
      <w:r w:rsidRPr="00F77013">
        <w:rPr>
          <w:rFonts w:ascii="Times New Roman" w:hAnsi="Times New Roman" w:cs="Times New Roman"/>
          <w:sz w:val="24"/>
          <w:szCs w:val="24"/>
        </w:rPr>
        <w:tab/>
      </w:r>
      <w:r w:rsidRPr="00F77013">
        <w:rPr>
          <w:rFonts w:ascii="Times New Roman" w:hAnsi="Times New Roman" w:cs="Times New Roman"/>
          <w:sz w:val="24"/>
          <w:szCs w:val="24"/>
        </w:rPr>
        <w:tab/>
      </w:r>
      <w:r w:rsidRPr="00F77013">
        <w:rPr>
          <w:rFonts w:ascii="Times New Roman" w:hAnsi="Times New Roman" w:cs="Times New Roman"/>
          <w:sz w:val="24"/>
          <w:szCs w:val="24"/>
        </w:rPr>
        <w:tab/>
      </w:r>
      <w:r w:rsidRPr="00F77013">
        <w:rPr>
          <w:rFonts w:ascii="Times New Roman" w:hAnsi="Times New Roman" w:cs="Times New Roman"/>
          <w:sz w:val="24"/>
          <w:szCs w:val="24"/>
        </w:rPr>
        <w:tab/>
        <w:t>General Counsel</w:t>
      </w:r>
    </w:p>
    <w:p w:rsidR="00F77013" w:rsidRDefault="00F77013">
      <w:pPr>
        <w:rPr>
          <w:rFonts w:ascii="Times New Roman" w:hAnsi="Times New Roman" w:cs="Times New Roman"/>
          <w:b/>
          <w:sz w:val="24"/>
          <w:szCs w:val="24"/>
        </w:rPr>
      </w:pPr>
    </w:p>
    <w:p w:rsidR="00F77013" w:rsidRDefault="00F77013" w:rsidP="00CB5331">
      <w:pPr>
        <w:spacing w:after="0" w:line="240" w:lineRule="auto"/>
        <w:jc w:val="center"/>
        <w:rPr>
          <w:rFonts w:ascii="Times New Roman" w:hAnsi="Times New Roman" w:cs="Times New Roman"/>
          <w:b/>
          <w:sz w:val="24"/>
          <w:szCs w:val="24"/>
        </w:rPr>
      </w:pPr>
    </w:p>
    <w:p w:rsidR="00F77013" w:rsidRDefault="00F77013">
      <w:pPr>
        <w:rPr>
          <w:rFonts w:ascii="Times New Roman" w:hAnsi="Times New Roman" w:cs="Times New Roman"/>
          <w:b/>
          <w:sz w:val="24"/>
          <w:szCs w:val="24"/>
        </w:rPr>
      </w:pPr>
      <w:r>
        <w:rPr>
          <w:rFonts w:ascii="Times New Roman" w:hAnsi="Times New Roman" w:cs="Times New Roman"/>
          <w:b/>
          <w:sz w:val="24"/>
          <w:szCs w:val="24"/>
        </w:rPr>
        <w:br w:type="page"/>
      </w:r>
    </w:p>
    <w:p w:rsidR="00B9551F" w:rsidRPr="0064307C" w:rsidRDefault="00B9551F"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lastRenderedPageBreak/>
        <w:t>Title 3</w:t>
      </w:r>
      <w:r w:rsidR="009F1C10" w:rsidRPr="0064307C">
        <w:rPr>
          <w:rFonts w:ascii="Times New Roman" w:hAnsi="Times New Roman" w:cs="Times New Roman"/>
          <w:b/>
          <w:sz w:val="24"/>
          <w:szCs w:val="24"/>
        </w:rPr>
        <w:t>3</w:t>
      </w:r>
    </w:p>
    <w:p w:rsidR="00B9551F" w:rsidRPr="0064307C" w:rsidRDefault="00B9551F"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ENVIRONMENTAL QUALITY</w:t>
      </w:r>
    </w:p>
    <w:p w:rsidR="0069078C" w:rsidRDefault="0069078C" w:rsidP="00CB5331">
      <w:pPr>
        <w:spacing w:after="0" w:line="240" w:lineRule="auto"/>
        <w:jc w:val="center"/>
        <w:rPr>
          <w:rFonts w:ascii="Times New Roman" w:hAnsi="Times New Roman" w:cs="Times New Roman"/>
          <w:b/>
          <w:sz w:val="24"/>
          <w:szCs w:val="24"/>
        </w:rPr>
      </w:pPr>
      <w:proofErr w:type="gramStart"/>
      <w:r w:rsidRPr="0064307C">
        <w:rPr>
          <w:rFonts w:ascii="Times New Roman" w:hAnsi="Times New Roman" w:cs="Times New Roman"/>
          <w:b/>
          <w:sz w:val="24"/>
          <w:szCs w:val="24"/>
        </w:rPr>
        <w:t>Part V.</w:t>
      </w:r>
      <w:proofErr w:type="gramEnd"/>
      <w:r w:rsidRPr="0064307C">
        <w:rPr>
          <w:rFonts w:ascii="Times New Roman" w:hAnsi="Times New Roman" w:cs="Times New Roman"/>
          <w:b/>
          <w:sz w:val="24"/>
          <w:szCs w:val="24"/>
        </w:rPr>
        <w:t xml:space="preserve"> </w:t>
      </w:r>
      <w:r w:rsidR="0064075D" w:rsidRPr="0064307C">
        <w:rPr>
          <w:rFonts w:ascii="Times New Roman" w:hAnsi="Times New Roman" w:cs="Times New Roman"/>
          <w:b/>
          <w:sz w:val="24"/>
          <w:szCs w:val="24"/>
        </w:rPr>
        <w:t xml:space="preserve"> </w:t>
      </w:r>
      <w:r w:rsidRPr="0064307C">
        <w:rPr>
          <w:rFonts w:ascii="Times New Roman" w:hAnsi="Times New Roman" w:cs="Times New Roman"/>
          <w:b/>
          <w:sz w:val="24"/>
          <w:szCs w:val="24"/>
        </w:rPr>
        <w:t>Hazardous Waste and Hazardous Materials</w:t>
      </w:r>
    </w:p>
    <w:p w:rsidR="0084121A" w:rsidRPr="0064307C" w:rsidRDefault="0084121A" w:rsidP="00CB5331">
      <w:pPr>
        <w:spacing w:after="0" w:line="240" w:lineRule="auto"/>
        <w:jc w:val="center"/>
        <w:rPr>
          <w:rFonts w:ascii="Times New Roman" w:hAnsi="Times New Roman" w:cs="Times New Roman"/>
          <w:b/>
          <w:sz w:val="24"/>
          <w:szCs w:val="24"/>
        </w:rPr>
      </w:pPr>
    </w:p>
    <w:p w:rsidR="0069078C" w:rsidRPr="0064307C" w:rsidRDefault="0069078C"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Subpart 1.  Department of Environmental Quality—Hazardous Waste</w:t>
      </w:r>
    </w:p>
    <w:p w:rsidR="00B9551F" w:rsidRPr="0064307C" w:rsidRDefault="00B9551F" w:rsidP="00CB5331">
      <w:pPr>
        <w:spacing w:after="0" w:line="240" w:lineRule="auto"/>
        <w:jc w:val="center"/>
        <w:rPr>
          <w:rFonts w:ascii="Times New Roman" w:hAnsi="Times New Roman" w:cs="Times New Roman"/>
          <w:sz w:val="24"/>
          <w:szCs w:val="24"/>
        </w:rPr>
      </w:pP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bookmarkStart w:id="1" w:name="TOC_Chap1132"/>
      <w:proofErr w:type="gramStart"/>
      <w:r w:rsidRPr="00BB7565">
        <w:rPr>
          <w:b/>
          <w:sz w:val="24"/>
          <w:szCs w:val="24"/>
        </w:rPr>
        <w:t>Chapter 49.</w:t>
      </w:r>
      <w:bookmarkEnd w:id="1"/>
      <w:proofErr w:type="gramEnd"/>
      <w:r w:rsidRPr="00BB7565">
        <w:rPr>
          <w:b/>
          <w:sz w:val="24"/>
          <w:szCs w:val="24"/>
        </w:rPr>
        <w:t xml:space="preserve">  </w:t>
      </w:r>
      <w:bookmarkStart w:id="2" w:name="TOCT_Chap1132"/>
      <w:r w:rsidRPr="00BB7565">
        <w:rPr>
          <w:b/>
          <w:sz w:val="24"/>
          <w:szCs w:val="24"/>
        </w:rPr>
        <w:t>Lists of Hazardous Wastes</w:t>
      </w:r>
      <w:bookmarkEnd w:id="2"/>
    </w:p>
    <w:p w:rsidR="00BB7565" w:rsidRP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r w:rsidRPr="00BB7565">
        <w:rPr>
          <w:sz w:val="24"/>
          <w:szCs w:val="24"/>
        </w:rPr>
        <w:t>[Editor’s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are ignitable, corrosive, reactive, or toxic (LAC 33:V.4903).]</w:t>
      </w: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bookmarkStart w:id="3" w:name="TOC_Sect1854"/>
      <w:r w:rsidRPr="00BB7565">
        <w:rPr>
          <w:b/>
          <w:sz w:val="24"/>
          <w:szCs w:val="24"/>
        </w:rPr>
        <w:t>§4999.</w:t>
      </w:r>
      <w:r w:rsidRPr="00BB7565">
        <w:rPr>
          <w:b/>
          <w:sz w:val="24"/>
          <w:szCs w:val="24"/>
        </w:rPr>
        <w:tab/>
        <w:t>Appendices—Appendix A, B, C, D, E, and F</w:t>
      </w:r>
      <w:bookmarkEnd w:id="3"/>
    </w:p>
    <w:p w:rsidR="00526DEE" w:rsidRDefault="00526DEE"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p>
    <w:p w:rsidR="00526DEE" w:rsidRPr="00526DEE" w:rsidRDefault="00526DEE" w:rsidP="00526DEE">
      <w:pPr>
        <w:spacing w:after="0" w:line="480" w:lineRule="auto"/>
        <w:ind w:firstLine="720"/>
        <w:rPr>
          <w:rFonts w:ascii="Times New Roman" w:eastAsia="Times New Roman" w:hAnsi="Times New Roman" w:cs="Times New Roman"/>
          <w:b/>
          <w:bCs/>
          <w:sz w:val="24"/>
          <w:szCs w:val="24"/>
        </w:rPr>
      </w:pPr>
      <w:proofErr w:type="gramStart"/>
      <w:r w:rsidRPr="00526DEE">
        <w:rPr>
          <w:rFonts w:ascii="Times New Roman" w:eastAsia="Times New Roman" w:hAnsi="Times New Roman" w:cs="Times New Roman"/>
          <w:b/>
          <w:bCs/>
          <w:sz w:val="24"/>
          <w:szCs w:val="24"/>
        </w:rPr>
        <w:t xml:space="preserve">Appendix A. </w:t>
      </w:r>
      <w:r w:rsidRPr="00526DEE">
        <w:rPr>
          <w:rFonts w:ascii="Times New Roman" w:eastAsia="Times New Roman" w:hAnsi="Times New Roman" w:cs="Times New Roman"/>
          <w:bCs/>
          <w:sz w:val="24"/>
          <w:szCs w:val="24"/>
        </w:rPr>
        <w:t>–</w:t>
      </w:r>
      <w:r w:rsidRPr="00526DEE">
        <w:rPr>
          <w:rFonts w:ascii="Times New Roman" w:eastAsia="Times New Roman" w:hAnsi="Times New Roman" w:cs="Times New Roman"/>
          <w:b/>
          <w:bCs/>
          <w:sz w:val="24"/>
          <w:szCs w:val="24"/>
        </w:rPr>
        <w:t xml:space="preserve"> Appendix D.</w:t>
      </w:r>
      <w:proofErr w:type="gramEnd"/>
      <w:r w:rsidR="00843EC0">
        <w:rPr>
          <w:rFonts w:ascii="Times New Roman" w:eastAsia="Times New Roman" w:hAnsi="Times New Roman" w:cs="Times New Roman"/>
          <w:b/>
          <w:bCs/>
          <w:sz w:val="24"/>
          <w:szCs w:val="24"/>
        </w:rPr>
        <w:t xml:space="preserve">  …</w:t>
      </w: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sz w:val="24"/>
          <w:szCs w:val="24"/>
        </w:rPr>
      </w:pPr>
      <w:r>
        <w:rPr>
          <w:sz w:val="24"/>
          <w:szCs w:val="24"/>
        </w:rPr>
        <w:t>***</w:t>
      </w: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sz w:val="24"/>
          <w:szCs w:val="24"/>
        </w:rPr>
      </w:pPr>
    </w:p>
    <w:p w:rsidR="00BB7565" w:rsidRDefault="00BB7565" w:rsidP="00526DE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rPr>
          <w:b/>
          <w:sz w:val="24"/>
          <w:szCs w:val="24"/>
        </w:rPr>
      </w:pPr>
      <w:proofErr w:type="gramStart"/>
      <w:r>
        <w:rPr>
          <w:b/>
          <w:sz w:val="24"/>
          <w:szCs w:val="24"/>
        </w:rPr>
        <w:t>Appendix E.</w:t>
      </w:r>
      <w:proofErr w:type="gramEnd"/>
      <w:r>
        <w:rPr>
          <w:b/>
          <w:sz w:val="24"/>
          <w:szCs w:val="24"/>
        </w:rPr>
        <w:t xml:space="preserve">  Wastes Excluded under LAC 33:V.105.M</w:t>
      </w: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b/>
          <w:sz w:val="24"/>
          <w:szCs w:val="24"/>
        </w:rPr>
      </w:pP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b/>
          <w:sz w:val="24"/>
          <w:szCs w:val="24"/>
        </w:rPr>
        <w:tab/>
      </w:r>
      <w:r>
        <w:rPr>
          <w:sz w:val="24"/>
          <w:szCs w:val="24"/>
        </w:rPr>
        <w:t>A. – B.3.b.  …</w:t>
      </w:r>
    </w:p>
    <w:p w:rsidR="00BB7565" w:rsidRP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tbl>
      <w:tblPr>
        <w:tblW w:w="6945" w:type="dxa"/>
        <w:jc w:val="center"/>
        <w:tblInd w:w="-94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45"/>
      </w:tblGrid>
      <w:tr w:rsidR="003C2D15" w:rsidRPr="003C2D15" w:rsidTr="00DD5CF0">
        <w:trPr>
          <w:cantSplit/>
          <w:trHeight w:val="143"/>
          <w:tblHeader/>
          <w:jc w:val="center"/>
        </w:trPr>
        <w:tc>
          <w:tcPr>
            <w:tcW w:w="6945" w:type="dxa"/>
            <w:shd w:val="pct10" w:color="auto" w:fill="auto"/>
            <w:vAlign w:val="center"/>
          </w:tcPr>
          <w:p w:rsidR="003C2D15" w:rsidRPr="003C2D15" w:rsidRDefault="003C2D15" w:rsidP="003C2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3C2D15">
              <w:rPr>
                <w:b/>
                <w:sz w:val="24"/>
                <w:szCs w:val="24"/>
              </w:rPr>
              <w:t>Table 1 - Wastes Excluded</w:t>
            </w:r>
          </w:p>
        </w:tc>
      </w:tr>
      <w:tr w:rsidR="003C2D15" w:rsidRPr="003C2D15" w:rsidTr="00DD5CF0">
        <w:trPr>
          <w:trHeight w:val="143"/>
          <w:tblHeader/>
          <w:jc w:val="center"/>
        </w:trPr>
        <w:tc>
          <w:tcPr>
            <w:tcW w:w="6945" w:type="dxa"/>
            <w:shd w:val="clear" w:color="auto" w:fill="E6E6E6"/>
          </w:tcPr>
          <w:p w:rsidR="003C2D15" w:rsidRPr="003C2D15" w:rsidRDefault="003C2D15" w:rsidP="003C2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3C2D15">
              <w:rPr>
                <w:b/>
                <w:sz w:val="24"/>
                <w:szCs w:val="24"/>
              </w:rPr>
              <w:t xml:space="preserve">BFI Waste Systems of </w:t>
            </w:r>
            <w:smartTag w:uri="urn:schemas-microsoft-com:office:smarttags" w:element="State">
              <w:r w:rsidRPr="003C2D15">
                <w:rPr>
                  <w:b/>
                  <w:sz w:val="24"/>
                  <w:szCs w:val="24"/>
                </w:rPr>
                <w:t>Louisiana</w:t>
              </w:r>
            </w:smartTag>
            <w:r w:rsidRPr="003C2D15">
              <w:rPr>
                <w:b/>
                <w:sz w:val="24"/>
                <w:szCs w:val="24"/>
              </w:rPr>
              <w:t xml:space="preserve"> LLC, Colonial Landfill, </w:t>
            </w:r>
            <w:smartTag w:uri="urn:schemas-microsoft-com:office:smarttags" w:element="place">
              <w:smartTag w:uri="urn:schemas-microsoft-com:office:smarttags" w:element="City">
                <w:r w:rsidRPr="003C2D15">
                  <w:rPr>
                    <w:b/>
                    <w:sz w:val="24"/>
                    <w:szCs w:val="24"/>
                  </w:rPr>
                  <w:t>Sorrento</w:t>
                </w:r>
              </w:smartTag>
              <w:r w:rsidRPr="003C2D15">
                <w:rPr>
                  <w:b/>
                  <w:sz w:val="24"/>
                  <w:szCs w:val="24"/>
                </w:rPr>
                <w:t xml:space="preserve">, </w:t>
              </w:r>
              <w:smartTag w:uri="urn:schemas-microsoft-com:office:smarttags" w:element="State">
                <w:r w:rsidRPr="003C2D15">
                  <w:rPr>
                    <w:b/>
                    <w:sz w:val="24"/>
                    <w:szCs w:val="24"/>
                  </w:rPr>
                  <w:t>LA</w:t>
                </w:r>
              </w:smartTag>
            </w:smartTag>
          </w:p>
        </w:tc>
      </w:tr>
      <w:tr w:rsidR="003C2D15" w:rsidRPr="003C2D15" w:rsidTr="00DD5CF0">
        <w:trPr>
          <w:jc w:val="center"/>
        </w:trPr>
        <w:tc>
          <w:tcPr>
            <w:tcW w:w="6945" w:type="dxa"/>
          </w:tcPr>
          <w:p w:rsidR="003C2D15" w:rsidRDefault="003C2D15" w:rsidP="003C2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sz w:val="24"/>
                <w:szCs w:val="24"/>
              </w:rPr>
            </w:pPr>
          </w:p>
          <w:p w:rsidR="003C2D15" w:rsidRPr="003C2D15" w:rsidRDefault="003C2D15" w:rsidP="003C2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sz w:val="24"/>
                <w:szCs w:val="24"/>
              </w:rPr>
            </w:pPr>
            <w:r>
              <w:rPr>
                <w:sz w:val="24"/>
                <w:szCs w:val="24"/>
              </w:rPr>
              <w:t>***</w:t>
            </w:r>
          </w:p>
        </w:tc>
      </w:tr>
    </w:tbl>
    <w:p w:rsidR="00BB7565" w:rsidRP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D15B54" w:rsidRDefault="00D15B54"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BB7565" w:rsidRDefault="00BB7565"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6935" w:type="dxa"/>
        <w:jc w:val="center"/>
        <w:tblInd w:w="-35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35"/>
      </w:tblGrid>
      <w:tr w:rsidR="00BB7565" w:rsidRPr="00BB7565" w:rsidTr="00DD5CF0">
        <w:trPr>
          <w:cantSplit/>
          <w:trHeight w:val="197"/>
          <w:tblHeader/>
          <w:jc w:val="center"/>
        </w:trPr>
        <w:tc>
          <w:tcPr>
            <w:tcW w:w="6935" w:type="dxa"/>
            <w:shd w:val="pct10" w:color="auto" w:fill="auto"/>
            <w:vAlign w:val="center"/>
          </w:tcPr>
          <w:p w:rsidR="00BB7565" w:rsidRP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BB7565">
              <w:rPr>
                <w:b/>
                <w:sz w:val="24"/>
                <w:szCs w:val="24"/>
              </w:rPr>
              <w:t>Table 1 - Wastes Excluded</w:t>
            </w:r>
          </w:p>
        </w:tc>
      </w:tr>
      <w:tr w:rsidR="00BB7565" w:rsidRPr="00BB7565" w:rsidTr="00DD5CF0">
        <w:trPr>
          <w:cantSplit/>
          <w:trHeight w:val="170"/>
          <w:tblHeader/>
          <w:jc w:val="center"/>
        </w:trPr>
        <w:tc>
          <w:tcPr>
            <w:tcW w:w="6935" w:type="dxa"/>
            <w:shd w:val="pct10" w:color="auto" w:fill="auto"/>
          </w:tcPr>
          <w:p w:rsidR="00BB7565" w:rsidRPr="00BB7565" w:rsidRDefault="00BB7565" w:rsidP="003A72F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BB7565">
              <w:rPr>
                <w:b/>
                <w:bCs/>
                <w:strike/>
                <w:sz w:val="24"/>
                <w:szCs w:val="24"/>
              </w:rPr>
              <w:t>DuPont Dow</w:t>
            </w:r>
            <w:r w:rsidR="003A72F9">
              <w:rPr>
                <w:b/>
                <w:bCs/>
                <w:strike/>
                <w:sz w:val="24"/>
                <w:szCs w:val="24"/>
              </w:rPr>
              <w:t xml:space="preserve"> </w:t>
            </w:r>
            <w:proofErr w:type="spellStart"/>
            <w:r w:rsidR="003A72F9">
              <w:rPr>
                <w:b/>
                <w:bCs/>
                <w:strike/>
                <w:sz w:val="24"/>
                <w:szCs w:val="24"/>
              </w:rPr>
              <w:t>Elastomers</w:t>
            </w:r>
            <w:r>
              <w:rPr>
                <w:b/>
                <w:bCs/>
                <w:sz w:val="24"/>
                <w:szCs w:val="24"/>
                <w:u w:val="single"/>
              </w:rPr>
              <w:t>Denka</w:t>
            </w:r>
            <w:proofErr w:type="spellEnd"/>
            <w:r>
              <w:rPr>
                <w:b/>
                <w:bCs/>
                <w:sz w:val="24"/>
                <w:szCs w:val="24"/>
                <w:u w:val="single"/>
              </w:rPr>
              <w:t xml:space="preserve"> Performance</w:t>
            </w:r>
            <w:r w:rsidRPr="003A72F9">
              <w:rPr>
                <w:b/>
                <w:bCs/>
                <w:sz w:val="24"/>
                <w:szCs w:val="24"/>
                <w:u w:val="single"/>
              </w:rPr>
              <w:t xml:space="preserve"> Elastomer</w:t>
            </w:r>
            <w:r w:rsidRPr="00BB7565">
              <w:rPr>
                <w:b/>
                <w:bCs/>
                <w:sz w:val="24"/>
                <w:szCs w:val="24"/>
              </w:rPr>
              <w:t xml:space="preserve"> LLC, </w:t>
            </w:r>
            <w:proofErr w:type="spellStart"/>
            <w:r w:rsidRPr="00BB7565">
              <w:rPr>
                <w:b/>
                <w:bCs/>
                <w:sz w:val="24"/>
                <w:szCs w:val="24"/>
              </w:rPr>
              <w:t>LaPlace</w:t>
            </w:r>
            <w:proofErr w:type="spellEnd"/>
            <w:r w:rsidRPr="00BB7565">
              <w:rPr>
                <w:b/>
                <w:bCs/>
                <w:sz w:val="24"/>
                <w:szCs w:val="24"/>
              </w:rPr>
              <w:t>, LA</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roofErr w:type="spellStart"/>
            <w:r w:rsidRPr="00FC71AF">
              <w:rPr>
                <w:sz w:val="24"/>
                <w:szCs w:val="24"/>
              </w:rPr>
              <w:t>Dynawave</w:t>
            </w:r>
            <w:proofErr w:type="spellEnd"/>
            <w:r w:rsidRPr="00FC71AF">
              <w:rPr>
                <w:sz w:val="24"/>
                <w:szCs w:val="24"/>
              </w:rPr>
              <w:t xml:space="preserve"> Scrubber Effluent is generated through the combustion of organic waste feed streams carrying the listed EPA Hazardous Waste Numbers F001, F002, F003, and F005. The specific hazardous waste streams being combusted and their EPA Hazardous Waste Numbers are: </w:t>
            </w:r>
            <w:proofErr w:type="spellStart"/>
            <w:r w:rsidRPr="00FC71AF">
              <w:rPr>
                <w:sz w:val="24"/>
                <w:szCs w:val="24"/>
              </w:rPr>
              <w:t>HCl</w:t>
            </w:r>
            <w:proofErr w:type="spellEnd"/>
            <w:r w:rsidRPr="00FC71AF">
              <w:rPr>
                <w:sz w:val="24"/>
                <w:szCs w:val="24"/>
              </w:rPr>
              <w:t xml:space="preserve"> Feed—D001, D002, and D007; </w:t>
            </w:r>
            <w:proofErr w:type="spellStart"/>
            <w:r w:rsidRPr="00FC71AF">
              <w:rPr>
                <w:sz w:val="24"/>
                <w:szCs w:val="24"/>
              </w:rPr>
              <w:t>Ponchartrain</w:t>
            </w:r>
            <w:proofErr w:type="spellEnd"/>
            <w:r w:rsidRPr="00FC71AF">
              <w:rPr>
                <w:sz w:val="24"/>
                <w:szCs w:val="24"/>
              </w:rPr>
              <w:t xml:space="preserve"> CD Heels—D001 and F005; Waste Organics—D001, D007, and F005; Catalyst Sludge Receiver (CSR) Sludge—D001, D007, and F005; </w:t>
            </w:r>
            <w:proofErr w:type="spellStart"/>
            <w:r w:rsidRPr="00FC71AF">
              <w:rPr>
                <w:sz w:val="24"/>
                <w:szCs w:val="24"/>
              </w:rPr>
              <w:t>Isom</w:t>
            </w:r>
            <w:proofErr w:type="spellEnd"/>
            <w:r w:rsidRPr="00FC71AF">
              <w:rPr>
                <w:sz w:val="24"/>
                <w:szCs w:val="24"/>
              </w:rPr>
              <w:t xml:space="preserve"> Purge—D001, D002, and F005; and Louisville CD Heels—D001, D007, D039, F001, F002, F003, and F005. </w:t>
            </w:r>
            <w:r w:rsidRPr="00FC71AF">
              <w:rPr>
                <w:strike/>
                <w:sz w:val="24"/>
                <w:szCs w:val="24"/>
              </w:rPr>
              <w:t>DuPont Dow</w:t>
            </w:r>
            <w:r w:rsidR="003A72F9">
              <w:rPr>
                <w:strike/>
                <w:sz w:val="24"/>
                <w:szCs w:val="24"/>
              </w:rPr>
              <w:t xml:space="preserve"> </w:t>
            </w:r>
            <w:proofErr w:type="spellStart"/>
            <w:r w:rsidR="003A72F9">
              <w:rPr>
                <w:strike/>
                <w:sz w:val="24"/>
                <w:szCs w:val="24"/>
              </w:rPr>
              <w:t>Elastomers</w:t>
            </w:r>
            <w:r w:rsidR="00FC71AF">
              <w:rPr>
                <w:sz w:val="24"/>
                <w:szCs w:val="24"/>
                <w:u w:val="single"/>
              </w:rPr>
              <w:t>Denka</w:t>
            </w:r>
            <w:proofErr w:type="spellEnd"/>
            <w:r w:rsidR="00FC71AF">
              <w:rPr>
                <w:sz w:val="24"/>
                <w:szCs w:val="24"/>
                <w:u w:val="single"/>
              </w:rPr>
              <w:t xml:space="preserve"> Performance</w:t>
            </w:r>
            <w:r w:rsidR="003A72F9" w:rsidRPr="003A72F9">
              <w:rPr>
                <w:sz w:val="24"/>
                <w:szCs w:val="24"/>
                <w:u w:val="single"/>
              </w:rPr>
              <w:t xml:space="preserve"> Elastomer</w:t>
            </w:r>
            <w:r w:rsidR="00FA786B">
              <w:rPr>
                <w:sz w:val="24"/>
                <w:szCs w:val="24"/>
                <w:u w:val="single"/>
              </w:rPr>
              <w:t xml:space="preserve"> LLC</w:t>
            </w:r>
            <w:r w:rsidRPr="00FC71AF">
              <w:rPr>
                <w:sz w:val="24"/>
                <w:szCs w:val="24"/>
              </w:rPr>
              <w:t xml:space="preserve"> must implement a sampling program that meets the following conditions for the exclusion to be valid.</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  Testing</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Sample collections and analyses, including quality control (QC) procedures, must be performed according to methodologies described in </w:t>
            </w:r>
            <w:r w:rsidRPr="00FC71AF">
              <w:rPr>
                <w:i/>
                <w:iCs/>
                <w:sz w:val="24"/>
                <w:szCs w:val="24"/>
              </w:rPr>
              <w:t>Test Methods for Evaluating Solid Waste, Physical/Chemical Methods</w:t>
            </w:r>
            <w:r w:rsidRPr="00FC71AF">
              <w:rPr>
                <w:sz w:val="24"/>
                <w:szCs w:val="24"/>
              </w:rPr>
              <w:t>, EPA Publication Number SW-846, as incorporated by reference in LAC 33:V.110.</w:t>
            </w:r>
          </w:p>
        </w:tc>
      </w:tr>
      <w:tr w:rsidR="00BB7565" w:rsidRPr="00BB7565" w:rsidTr="00DD5CF0">
        <w:trPr>
          <w:jc w:val="center"/>
        </w:trPr>
        <w:tc>
          <w:tcPr>
            <w:tcW w:w="6935" w:type="dxa"/>
          </w:tcPr>
          <w:p w:rsidR="00BB7565" w:rsidRPr="00FC71AF" w:rsidRDefault="00843EC0"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page">
                        <wp:posOffset>-870585</wp:posOffset>
                      </wp:positionH>
                      <wp:positionV relativeFrom="paragraph">
                        <wp:posOffset>-648970</wp:posOffset>
                      </wp:positionV>
                      <wp:extent cx="1280160" cy="274320"/>
                      <wp:effectExtent l="0" t="0" r="0" b="0"/>
                      <wp:wrapNone/>
                      <wp:docPr id="27" name="Text Box 1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565" w:rsidRDefault="00BB7565" w:rsidP="00BB7565">
                                  <w:pPr>
                                    <w:pStyle w:val="Heading7"/>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3" o:spid="_x0000_s1026" type="#_x0000_t202" style="position:absolute;left:0;text-align:left;margin-left:-68.55pt;margin-top:-51.1pt;width:100.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huQIAAL0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" filled="f" stroked="f">
                      <v:textbox>
                        <w:txbxContent>
                          <w:p w:rsidR="00BB7565" w:rsidRDefault="00BB7565" w:rsidP="00BB7565">
                            <w:pPr>
                              <w:pStyle w:val="Heading7"/>
                              <w:jc w:val="left"/>
                            </w:pPr>
                          </w:p>
                        </w:txbxContent>
                      </v:textbox>
                      <w10:wrap anchorx="page"/>
                    </v:shape>
                  </w:pict>
                </mc:Fallback>
              </mc:AlternateConten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(1)(A).  Inorganic Testing</w:t>
            </w:r>
          </w:p>
          <w:p w:rsidR="00BB7565" w:rsidRPr="00FC71AF" w:rsidRDefault="00BB7565" w:rsidP="003A72F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During the first 12 months of this exclusion, </w:t>
            </w:r>
            <w:r w:rsidRPr="00FC71AF">
              <w:rPr>
                <w:strike/>
                <w:sz w:val="24"/>
                <w:szCs w:val="24"/>
              </w:rPr>
              <w:t xml:space="preserve">DuPont </w:t>
            </w:r>
            <w:proofErr w:type="spellStart"/>
            <w:r w:rsidRPr="00FC71AF">
              <w:rPr>
                <w:strike/>
                <w:sz w:val="24"/>
                <w:szCs w:val="24"/>
              </w:rPr>
              <w:t>Dow</w:t>
            </w:r>
            <w:r w:rsidR="003A72F9">
              <w:rPr>
                <w:sz w:val="24"/>
                <w:szCs w:val="24"/>
                <w:u w:val="single"/>
              </w:rPr>
              <w:t>Denka</w:t>
            </w:r>
            <w:proofErr w:type="spellEnd"/>
            <w:r w:rsidR="003A72F9">
              <w:rPr>
                <w:sz w:val="24"/>
                <w:szCs w:val="24"/>
                <w:u w:val="single"/>
              </w:rPr>
              <w:t xml:space="preserve"> Performance Elastomer</w:t>
            </w:r>
            <w:r w:rsidR="00FC71AF">
              <w:rPr>
                <w:sz w:val="24"/>
                <w:szCs w:val="24"/>
                <w:u w:val="single"/>
              </w:rPr>
              <w:t xml:space="preserve"> LLC</w:t>
            </w:r>
            <w:r w:rsidRPr="00FC71AF">
              <w:rPr>
                <w:sz w:val="24"/>
                <w:szCs w:val="24"/>
              </w:rPr>
              <w:t xml:space="preserve"> must collect and analyze a monthly </w:t>
            </w:r>
            <w:r w:rsidRPr="00FC71AF">
              <w:rPr>
                <w:sz w:val="24"/>
                <w:szCs w:val="24"/>
              </w:rPr>
              <w:lastRenderedPageBreak/>
              <w:t xml:space="preserve">grab sample of the </w:t>
            </w:r>
            <w:proofErr w:type="spellStart"/>
            <w:r w:rsidRPr="00FC71AF">
              <w:rPr>
                <w:sz w:val="24"/>
                <w:szCs w:val="24"/>
              </w:rPr>
              <w:t>Dynawave</w:t>
            </w:r>
            <w:proofErr w:type="spellEnd"/>
            <w:r w:rsidRPr="00FC71AF">
              <w:rPr>
                <w:sz w:val="24"/>
                <w:szCs w:val="24"/>
              </w:rPr>
              <w:t xml:space="preserve"> Scrubber Effluent. </w:t>
            </w:r>
            <w:r w:rsidRPr="00FC71AF">
              <w:rPr>
                <w:strike/>
                <w:sz w:val="24"/>
                <w:szCs w:val="24"/>
              </w:rPr>
              <w:t xml:space="preserve">DuPont </w:t>
            </w:r>
            <w:proofErr w:type="spellStart"/>
            <w:r w:rsidRPr="00FC71AF">
              <w:rPr>
                <w:strike/>
                <w:sz w:val="24"/>
                <w:szCs w:val="24"/>
              </w:rPr>
              <w:t>Dow</w:t>
            </w:r>
            <w:r w:rsidR="00FC71AF">
              <w:rPr>
                <w:sz w:val="24"/>
                <w:szCs w:val="24"/>
                <w:u w:val="single"/>
              </w:rPr>
              <w:t>Denka</w:t>
            </w:r>
            <w:proofErr w:type="spellEnd"/>
            <w:r w:rsidR="00FC71AF">
              <w:rPr>
                <w:sz w:val="24"/>
                <w:szCs w:val="24"/>
                <w:u w:val="single"/>
              </w:rPr>
              <w:t xml:space="preserve"> Performance E</w:t>
            </w:r>
            <w:r w:rsidR="003A72F9">
              <w:rPr>
                <w:sz w:val="24"/>
                <w:szCs w:val="24"/>
                <w:u w:val="single"/>
              </w:rPr>
              <w:t>lastomer</w:t>
            </w:r>
            <w:r w:rsidR="00FC71AF">
              <w:rPr>
                <w:sz w:val="24"/>
                <w:szCs w:val="24"/>
                <w:u w:val="single"/>
              </w:rPr>
              <w:t xml:space="preserve"> LLC</w:t>
            </w:r>
            <w:r w:rsidRPr="00FC71AF">
              <w:rPr>
                <w:sz w:val="24"/>
                <w:szCs w:val="24"/>
              </w:rPr>
              <w:t xml:space="preserve"> must report to the department the unit operating conditions and analytical data (reported in milligrams per liter) for chromium, nickel, and zinc, including quality control information. If the department and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concur that the analytical results obtained during the 12 monthly testing periods have been significantly below the delisting levels in condition (3)(A), then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may replace the inorganic testing required in condition (1)(A) with the inorganic testing required in condition (1)(B). Condition (1)(A) shall remain effective until this concurrence is reached.</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(1)(B).  Subsequent Inorganic Testing</w:t>
            </w:r>
          </w:p>
          <w:p w:rsidR="00BB7565" w:rsidRPr="00FC71AF" w:rsidRDefault="00BB7565" w:rsidP="003A72F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Following concurrence by the department,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may substitute the following testing conditions for those in condition (1)(A).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must continue to monitor operating conditions and analyze samples representative of each year of operation. The samples must be grab samples from a randomly chosen operating day during the same month of operation as the previous year’s sampling event. These annual representative grab samples must be analyzed for chromium, nickel, and zinc.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may, at its discretion, analyze any samples gathered more frequently to demonstrate that smaller batches of waste are nonhazardous.</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(1)(C).  Organic Testing</w:t>
            </w:r>
          </w:p>
          <w:p w:rsidR="00BB7565" w:rsidRPr="00FC71AF" w:rsidRDefault="00BB7565" w:rsidP="003A72F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During the first 30 days of this exclusion,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must collect a grab sample of the </w:t>
            </w:r>
            <w:proofErr w:type="spellStart"/>
            <w:r w:rsidRPr="00FC71AF">
              <w:rPr>
                <w:sz w:val="24"/>
                <w:szCs w:val="24"/>
              </w:rPr>
              <w:t>Dynawave</w:t>
            </w:r>
            <w:proofErr w:type="spellEnd"/>
            <w:r w:rsidRPr="00FC71AF">
              <w:rPr>
                <w:sz w:val="24"/>
                <w:szCs w:val="24"/>
              </w:rPr>
              <w:t xml:space="preserve"> Scrubber Effluent and analyze it for the organic constituents listed in condition (3)(B) below. After completing this initial sampling,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shall sample and analyze for the organic constituents listed in condition (3)(B) on an annual basis.</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(1)(D).  Dioxins and Furans Testing</w:t>
            </w:r>
          </w:p>
          <w:p w:rsidR="00BB7565" w:rsidRPr="00FC71AF" w:rsidRDefault="00BB7565" w:rsidP="003A72F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During the first 30 days of this exclusion,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must collect a grab sample of the </w:t>
            </w:r>
            <w:proofErr w:type="spellStart"/>
            <w:r w:rsidRPr="00FC71AF">
              <w:rPr>
                <w:sz w:val="24"/>
                <w:szCs w:val="24"/>
              </w:rPr>
              <w:t>Dynawave</w:t>
            </w:r>
            <w:proofErr w:type="spellEnd"/>
            <w:r w:rsidRPr="00FC71AF">
              <w:rPr>
                <w:sz w:val="24"/>
                <w:szCs w:val="24"/>
              </w:rPr>
              <w:t xml:space="preserve"> Scrubber Effluent and analyze it for the dioxins and furans in condition (3)(C) below. After completing this initial sampling, </w:t>
            </w:r>
            <w:r w:rsidRPr="00E95EDD">
              <w:rPr>
                <w:strike/>
                <w:sz w:val="24"/>
                <w:szCs w:val="24"/>
              </w:rPr>
              <w:t xml:space="preserve">DuPont </w:t>
            </w:r>
            <w:proofErr w:type="spellStart"/>
            <w:r w:rsidRPr="00E95EDD">
              <w:rPr>
                <w:strike/>
                <w:sz w:val="24"/>
                <w:szCs w:val="24"/>
              </w:rPr>
              <w:t>Dow</w:t>
            </w:r>
            <w:r w:rsidR="003A72F9">
              <w:rPr>
                <w:sz w:val="24"/>
                <w:szCs w:val="24"/>
                <w:u w:val="single"/>
              </w:rPr>
              <w:t>Denka</w:t>
            </w:r>
            <w:proofErr w:type="spellEnd"/>
            <w:r w:rsidR="003A72F9">
              <w:rPr>
                <w:sz w:val="24"/>
                <w:szCs w:val="24"/>
                <w:u w:val="single"/>
              </w:rPr>
              <w:t xml:space="preserve"> Performance Elastomer</w:t>
            </w:r>
            <w:r w:rsidR="00E95EDD">
              <w:rPr>
                <w:sz w:val="24"/>
                <w:szCs w:val="24"/>
                <w:u w:val="single"/>
              </w:rPr>
              <w:t xml:space="preserve"> LLC</w:t>
            </w:r>
            <w:r w:rsidRPr="00FC71AF">
              <w:rPr>
                <w:sz w:val="24"/>
                <w:szCs w:val="24"/>
              </w:rPr>
              <w:t xml:space="preserve"> shall sample and analyze for the dioxins and furans in condition (3)(C) once every three years to commence three years after the initial sampling.</w:t>
            </w:r>
          </w:p>
        </w:tc>
      </w:tr>
      <w:tr w:rsidR="00BB7565" w:rsidRPr="00BB7565" w:rsidTr="00DD5CF0">
        <w:trPr>
          <w:jc w:val="center"/>
        </w:trPr>
        <w:tc>
          <w:tcPr>
            <w:tcW w:w="6935" w:type="dxa"/>
          </w:tcPr>
          <w:p w:rsidR="00BB7565" w:rsidRPr="00FC71AF" w:rsidRDefault="00843EC0"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Pr>
                <w:noProof/>
                <w:sz w:val="24"/>
                <w:szCs w:val="24"/>
              </w:rPr>
              <mc:AlternateContent>
                <mc:Choice Requires="wps">
                  <w:drawing>
                    <wp:anchor distT="0" distB="0" distL="114300" distR="114300" simplePos="0" relativeHeight="251661312" behindDoc="0" locked="0" layoutInCell="0" allowOverlap="1">
                      <wp:simplePos x="0" y="0"/>
                      <wp:positionH relativeFrom="page">
                        <wp:posOffset>548640</wp:posOffset>
                      </wp:positionH>
                      <wp:positionV relativeFrom="page">
                        <wp:posOffset>-6797675</wp:posOffset>
                      </wp:positionV>
                      <wp:extent cx="1280160" cy="274320"/>
                      <wp:effectExtent l="0" t="0" r="0" b="0"/>
                      <wp:wrapNone/>
                      <wp:docPr id="26" name="Text Box 3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565" w:rsidRDefault="00BB7565" w:rsidP="00BB75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3" o:spid="_x0000_s1027" type="#_x0000_t202" style="position:absolute;left:0;text-align:left;margin-left:43.2pt;margin-top:-535.25pt;width:100.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v4vA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" o:allowincell="f" filled="f" stroked="f">
                      <v:textbox>
                        <w:txbxContent>
                          <w:p w:rsidR="00BB7565" w:rsidRDefault="00BB7565" w:rsidP="00BB7565"/>
                        </w:txbxContent>
                      </v:textbox>
                      <w10:wrap anchorx="page" anchory="page"/>
                    </v:shape>
                  </w:pict>
                </mc:Fallback>
              </mc:AlternateConten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(2).  Waste Holding and Handling</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Consequent to this exclusion, the </w:t>
            </w:r>
            <w:proofErr w:type="spellStart"/>
            <w:r w:rsidRPr="00FC71AF">
              <w:rPr>
                <w:sz w:val="24"/>
                <w:szCs w:val="24"/>
              </w:rPr>
              <w:t>Dynawave</w:t>
            </w:r>
            <w:proofErr w:type="spellEnd"/>
            <w:r w:rsidRPr="00FC71AF">
              <w:rPr>
                <w:sz w:val="24"/>
                <w:szCs w:val="24"/>
              </w:rPr>
              <w:t xml:space="preserve"> Scrubber Effluent becomes, on generation, nonhazardous solid waste and may be managed and disposed of on the </w:t>
            </w:r>
            <w:r w:rsidRPr="00E95EDD">
              <w:rPr>
                <w:strike/>
                <w:sz w:val="24"/>
                <w:szCs w:val="24"/>
              </w:rPr>
              <w:t xml:space="preserve">DuPont </w:t>
            </w:r>
            <w:proofErr w:type="spellStart"/>
            <w:r w:rsidRPr="00E95EDD">
              <w:rPr>
                <w:strike/>
                <w:sz w:val="24"/>
                <w:szCs w:val="24"/>
              </w:rPr>
              <w:t>Dow</w:t>
            </w:r>
            <w:r w:rsidR="003A72F9">
              <w:rPr>
                <w:sz w:val="24"/>
                <w:szCs w:val="24"/>
                <w:u w:val="single"/>
              </w:rPr>
              <w:t>Denka</w:t>
            </w:r>
            <w:proofErr w:type="spellEnd"/>
            <w:r w:rsidR="003A72F9">
              <w:rPr>
                <w:sz w:val="24"/>
                <w:szCs w:val="24"/>
                <w:u w:val="single"/>
              </w:rPr>
              <w:t xml:space="preserve"> Performance Elastomer</w:t>
            </w:r>
            <w:r w:rsidR="00E95EDD">
              <w:rPr>
                <w:sz w:val="24"/>
                <w:szCs w:val="24"/>
                <w:u w:val="single"/>
              </w:rPr>
              <w:t xml:space="preserve"> LLC</w:t>
            </w:r>
            <w:r w:rsidRPr="00FC71AF">
              <w:rPr>
                <w:sz w:val="24"/>
                <w:szCs w:val="24"/>
              </w:rPr>
              <w:t xml:space="preserve"> plant site in any one of three permitted underground deep injection wells. With prior written authorization from the department, alternative disposal methods may be either a Louisiana Pollution Discharge Elimination System/National Pollution Discharge Elimination System (LPDES/NPDES) permitted outfall or a permitted commercial underground deep injection well. This newly </w:t>
            </w:r>
            <w:r w:rsidRPr="00FC71AF">
              <w:rPr>
                <w:sz w:val="24"/>
                <w:szCs w:val="24"/>
              </w:rPr>
              <w:lastRenderedPageBreak/>
              <w:t xml:space="preserve">delisted waste must always be managed and disposed of in accordance with all applicable solid waste regulations. If constituent levels in any representative sample equal or exceed any of the delisting levels set in condition (3), the </w:t>
            </w:r>
            <w:proofErr w:type="spellStart"/>
            <w:r w:rsidRPr="00FC71AF">
              <w:rPr>
                <w:sz w:val="24"/>
                <w:szCs w:val="24"/>
              </w:rPr>
              <w:t>Dynawave</w:t>
            </w:r>
            <w:proofErr w:type="spellEnd"/>
            <w:r w:rsidRPr="00FC71AF">
              <w:rPr>
                <w:sz w:val="24"/>
                <w:szCs w:val="24"/>
              </w:rPr>
              <w:t xml:space="preserve"> Scrubber Effluent must be immediately resampled and reanalyzed for the constituent(s) that exceeded the delisting levels. If the repeat analysis is less than the delisting levels, then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w:t>
            </w:r>
            <w:r w:rsidR="003A72F9">
              <w:rPr>
                <w:sz w:val="24"/>
                <w:szCs w:val="24"/>
                <w:u w:val="single"/>
              </w:rPr>
              <w:t>formance Elastomer</w:t>
            </w:r>
            <w:r w:rsidR="00E95EDD">
              <w:rPr>
                <w:sz w:val="24"/>
                <w:szCs w:val="24"/>
                <w:u w:val="single"/>
              </w:rPr>
              <w:t xml:space="preserve"> LLC</w:t>
            </w:r>
            <w:r w:rsidRPr="00FC71AF">
              <w:rPr>
                <w:sz w:val="24"/>
                <w:szCs w:val="24"/>
              </w:rPr>
              <w:t xml:space="preserve"> shall resume the normal sampling and analysis schedule as described in condition (1). If the results of the reanalysis equal or exceed any of the delisting levels, then within 45 days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w:t>
            </w:r>
            <w:r w:rsidR="003A72F9">
              <w:rPr>
                <w:sz w:val="24"/>
                <w:szCs w:val="24"/>
                <w:u w:val="single"/>
              </w:rPr>
              <w:t>mer</w:t>
            </w:r>
            <w:r w:rsidR="00E95EDD">
              <w:rPr>
                <w:sz w:val="24"/>
                <w:szCs w:val="24"/>
                <w:u w:val="single"/>
              </w:rPr>
              <w:t xml:space="preserve"> LLC</w:t>
            </w:r>
            <w:r w:rsidRPr="00FC71AF">
              <w:rPr>
                <w:sz w:val="24"/>
                <w:szCs w:val="24"/>
              </w:rPr>
              <w:t xml:space="preserve"> shall submit a report to the department that outlines the probable causes for exceeding the constituent level and recommends corrective action measures. The department shall determine the necessary corrective action and shall notify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of the corrective action needed. DuPont Dow shall implement the corrective action and resume sampling and analysis for the constituent per the schedule in condition (1). Within 30 days after receiving written notification,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may appeal the corrective action determined by the department. During the full period of corrective action determination and implementation, the exclusion of the </w:t>
            </w:r>
            <w:proofErr w:type="spellStart"/>
            <w:r w:rsidRPr="00FC71AF">
              <w:rPr>
                <w:sz w:val="24"/>
                <w:szCs w:val="24"/>
              </w:rPr>
              <w:t>Dynawave</w:t>
            </w:r>
            <w:proofErr w:type="spellEnd"/>
            <w:r w:rsidRPr="00FC71AF">
              <w:rPr>
                <w:sz w:val="24"/>
                <w:szCs w:val="24"/>
              </w:rPr>
              <w:t xml:space="preserve"> Scrubber Effluent shall remain in force unless the department notifies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in writing of a temporary rescission of the exclusion. Normal sampling and analysis shall continue through this period as long as the exclusion remains in force.</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(3).  Delisting Levels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The following delisting levels have been determined safe by taking into account health-based criteria and limits of detection. Concentrations in conditions (3)(A) and (3)(B) must be measured in the extract from the samples by the method specified in LAC 33:V. 4903.E. Concentrations in the extract must be less than the following levels (all units are milligrams per liter).</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(3)(A).  Inorganic Constituents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Chromium—2.0; Nickel—2.0; Zinc—200.</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(3)(B).  Organic Constituents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Acetone—80; Chlorobenzene—2.0; Chloroform—0.2; Chloroprene—14; Ethylbenzene—14; Methylene Chloride—0.1; Styrene—2.0; Toluene—20; Xylenes—200.</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(3)(C).  Dioxins and Furans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The 15 congeners listed in Section 1.1 of EPA Publication Number SW-846 Method 8290—Monitor only.</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(4).  Changes in Operating Conditions or Feed Streams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If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either significantly changes the operating conditions specified in the petition or adds any previously unspecified feed streams and either of these actions would justify a Class 3 modification to its combustion permit,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must notify the department in writing. Following receipt of written </w:t>
            </w:r>
            <w:r w:rsidRPr="00FC71AF">
              <w:rPr>
                <w:sz w:val="24"/>
                <w:szCs w:val="24"/>
              </w:rPr>
              <w:lastRenderedPageBreak/>
              <w:t xml:space="preserve">acknowledgement by the department,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must collect a grab sample and analyze it for the full universe of constituents found in 40 CFR Part 264, Appendix IX—Groundwater Monitoring List (LAC 33:V.3325). If the results of the Appendix IX analyses identify no new hazardous constituents, then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must reinstitute the testing required in condition (1)(A) for a minimum of 12 monthly operating periods. During the full period described in this condition, the delisting of the </w:t>
            </w:r>
            <w:proofErr w:type="spellStart"/>
            <w:r w:rsidRPr="00FC71AF">
              <w:rPr>
                <w:sz w:val="24"/>
                <w:szCs w:val="24"/>
              </w:rPr>
              <w:t>Dynawave</w:t>
            </w:r>
            <w:proofErr w:type="spellEnd"/>
            <w:r w:rsidRPr="00FC71AF">
              <w:rPr>
                <w:sz w:val="24"/>
                <w:szCs w:val="24"/>
              </w:rPr>
              <w:t xml:space="preserve"> Scrubber Effluent shall remain in force unless a new hazardous constituent is identified or the waste volume exceeds 25,000 cubic yards per year; at this time the delisting petition shall be reopened.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may eliminate feeding any stream to the combustion unit at any time without affecting the delisting of the </w:t>
            </w:r>
            <w:proofErr w:type="spellStart"/>
            <w:r w:rsidRPr="00FC71AF">
              <w:rPr>
                <w:sz w:val="24"/>
                <w:szCs w:val="24"/>
              </w:rPr>
              <w:t>Dynawave</w:t>
            </w:r>
            <w:proofErr w:type="spellEnd"/>
            <w:r w:rsidRPr="00FC71AF">
              <w:rPr>
                <w:sz w:val="24"/>
                <w:szCs w:val="24"/>
              </w:rPr>
              <w:t xml:space="preserve"> Scrubber Effluent or the sampling schedule.</w:t>
            </w:r>
          </w:p>
        </w:tc>
      </w:tr>
    </w:tbl>
    <w:p w:rsidR="00BB7565" w:rsidRDefault="00BB7565"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0" w:type="auto"/>
        <w:jc w:val="center"/>
        <w:tblInd w:w="255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7020"/>
      </w:tblGrid>
      <w:tr w:rsidR="003C2D15" w:rsidRPr="003C2D15" w:rsidTr="00DD5CF0">
        <w:trPr>
          <w:tblHeader/>
          <w:jc w:val="center"/>
        </w:trPr>
        <w:tc>
          <w:tcPr>
            <w:tcW w:w="7020" w:type="dxa"/>
            <w:shd w:val="clear" w:color="auto" w:fill="D9D9D9"/>
          </w:tcPr>
          <w:p w:rsidR="003C2D15" w:rsidRPr="003C2D15" w:rsidRDefault="003C2D15"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3C2D15">
              <w:rPr>
                <w:b/>
                <w:bCs/>
                <w:sz w:val="24"/>
                <w:szCs w:val="24"/>
              </w:rPr>
              <w:t>Table 1 – Wastes Excluded</w:t>
            </w:r>
          </w:p>
        </w:tc>
      </w:tr>
      <w:tr w:rsidR="003C2D15" w:rsidRPr="003C2D15" w:rsidTr="00DD5CF0">
        <w:trPr>
          <w:tblHeader/>
          <w:jc w:val="center"/>
        </w:trPr>
        <w:tc>
          <w:tcPr>
            <w:tcW w:w="7020" w:type="dxa"/>
            <w:shd w:val="clear" w:color="auto" w:fill="D9D9D9"/>
          </w:tcPr>
          <w:p w:rsidR="003C2D15" w:rsidRPr="003C2D15" w:rsidRDefault="003C2D15"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3C2D15">
              <w:rPr>
                <w:b/>
                <w:sz w:val="24"/>
                <w:szCs w:val="24"/>
              </w:rPr>
              <w:t>Lyondell Chemical Company, Lake Charles, LA</w:t>
            </w:r>
          </w:p>
        </w:tc>
      </w:tr>
      <w:tr w:rsidR="003C2D15" w:rsidRPr="003C2D15" w:rsidTr="00DD5CF0">
        <w:trPr>
          <w:jc w:val="center"/>
        </w:trPr>
        <w:tc>
          <w:tcPr>
            <w:tcW w:w="7020" w:type="dxa"/>
            <w:shd w:val="clear" w:color="auto" w:fill="auto"/>
          </w:tcPr>
          <w:p w:rsidR="003C2D15" w:rsidRDefault="003C2D15"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p>
          <w:p w:rsidR="00957A2B" w:rsidRPr="003C2D15"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Pr>
                <w:b/>
                <w:sz w:val="24"/>
                <w:szCs w:val="24"/>
              </w:rPr>
              <w:t>***</w:t>
            </w:r>
          </w:p>
        </w:tc>
      </w:tr>
    </w:tbl>
    <w:p w:rsidR="003C2D15" w:rsidRDefault="003C2D15"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6999" w:type="dxa"/>
        <w:jc w:val="center"/>
        <w:tblInd w:w="-27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99"/>
      </w:tblGrid>
      <w:tr w:rsidR="00957A2B" w:rsidRPr="00957A2B" w:rsidTr="00DD5CF0">
        <w:trPr>
          <w:cantSplit/>
          <w:trHeight w:val="170"/>
          <w:tblHeader/>
          <w:jc w:val="center"/>
        </w:trPr>
        <w:tc>
          <w:tcPr>
            <w:tcW w:w="6999" w:type="dxa"/>
            <w:shd w:val="pct10" w:color="auto" w:fill="auto"/>
            <w:vAlign w:val="center"/>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957A2B">
              <w:rPr>
                <w:b/>
                <w:sz w:val="24"/>
                <w:szCs w:val="24"/>
              </w:rPr>
              <w:t>Table 1 - Wastes Excluded</w:t>
            </w:r>
          </w:p>
        </w:tc>
      </w:tr>
      <w:tr w:rsidR="00957A2B" w:rsidRPr="00957A2B" w:rsidTr="00DD5CF0">
        <w:trPr>
          <w:trHeight w:val="152"/>
          <w:tblHeader/>
          <w:jc w:val="center"/>
        </w:trPr>
        <w:tc>
          <w:tcPr>
            <w:tcW w:w="6999" w:type="dxa"/>
            <w:shd w:val="clear" w:color="auto" w:fill="E6E6E6"/>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bCs/>
                <w:sz w:val="24"/>
                <w:szCs w:val="24"/>
              </w:rPr>
              <w:t xml:space="preserve">Marathon Oil Co., </w:t>
            </w:r>
            <w:proofErr w:type="spellStart"/>
            <w:smartTag w:uri="urn:schemas-microsoft-com:office:smarttags" w:element="place">
              <w:smartTag w:uri="urn:schemas-microsoft-com:office:smarttags" w:element="City">
                <w:r w:rsidRPr="00957A2B">
                  <w:rPr>
                    <w:b/>
                    <w:bCs/>
                    <w:sz w:val="24"/>
                    <w:szCs w:val="24"/>
                  </w:rPr>
                  <w:t>Garyville</w:t>
                </w:r>
              </w:smartTag>
              <w:proofErr w:type="spellEnd"/>
              <w:r w:rsidRPr="00957A2B">
                <w:rPr>
                  <w:b/>
                  <w:bCs/>
                  <w:sz w:val="24"/>
                  <w:szCs w:val="24"/>
                </w:rPr>
                <w:t xml:space="preserve">, </w:t>
              </w:r>
              <w:smartTag w:uri="urn:schemas-microsoft-com:office:smarttags" w:element="State">
                <w:r w:rsidRPr="00957A2B">
                  <w:rPr>
                    <w:b/>
                    <w:bCs/>
                    <w:sz w:val="24"/>
                    <w:szCs w:val="24"/>
                  </w:rPr>
                  <w:t>LA</w:t>
                </w:r>
              </w:smartTag>
            </w:smartTag>
          </w:p>
        </w:tc>
      </w:tr>
      <w:tr w:rsidR="00957A2B" w:rsidRPr="00957A2B" w:rsidTr="00DD5CF0">
        <w:trPr>
          <w:jc w:val="center"/>
        </w:trPr>
        <w:tc>
          <w:tcPr>
            <w:tcW w:w="6999" w:type="dxa"/>
          </w:tcPr>
          <w:p w:rsid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p>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Pr>
                <w:b/>
                <w:sz w:val="24"/>
                <w:szCs w:val="24"/>
              </w:rPr>
              <w:t>***</w:t>
            </w:r>
          </w:p>
        </w:tc>
      </w:tr>
    </w:tbl>
    <w:p w:rsidR="00957A2B" w:rsidRDefault="00957A2B"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7018" w:type="dxa"/>
        <w:jc w:val="center"/>
        <w:tblInd w:w="-1017"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7018"/>
      </w:tblGrid>
      <w:tr w:rsidR="00957A2B" w:rsidRPr="00957A2B" w:rsidTr="00DD5CF0">
        <w:trPr>
          <w:cantSplit/>
          <w:trHeight w:val="143"/>
          <w:tblHeader/>
          <w:jc w:val="center"/>
        </w:trPr>
        <w:tc>
          <w:tcPr>
            <w:tcW w:w="7018" w:type="dxa"/>
            <w:shd w:val="pct10" w:color="auto" w:fill="auto"/>
            <w:vAlign w:val="center"/>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957A2B">
              <w:rPr>
                <w:b/>
                <w:sz w:val="24"/>
                <w:szCs w:val="24"/>
              </w:rPr>
              <w:t>Table 1 - Wastes Excluded</w:t>
            </w:r>
          </w:p>
        </w:tc>
      </w:tr>
      <w:tr w:rsidR="00957A2B" w:rsidRPr="00957A2B" w:rsidTr="00DD5CF0">
        <w:trPr>
          <w:trHeight w:val="143"/>
          <w:tblHeader/>
          <w:jc w:val="center"/>
        </w:trPr>
        <w:tc>
          <w:tcPr>
            <w:tcW w:w="7018" w:type="dxa"/>
            <w:shd w:val="clear" w:color="auto" w:fill="E6E6E6"/>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bCs/>
                <w:sz w:val="24"/>
                <w:szCs w:val="24"/>
              </w:rPr>
              <w:t xml:space="preserve">Motiva Enterprises LLC, </w:t>
            </w:r>
            <w:smartTag w:uri="urn:schemas-microsoft-com:office:smarttags" w:element="place">
              <w:smartTag w:uri="urn:schemas-microsoft-com:office:smarttags" w:element="City">
                <w:r w:rsidRPr="00957A2B">
                  <w:rPr>
                    <w:b/>
                    <w:bCs/>
                    <w:sz w:val="24"/>
                    <w:szCs w:val="24"/>
                  </w:rPr>
                  <w:t>Norco</w:t>
                </w:r>
              </w:smartTag>
              <w:r w:rsidRPr="00957A2B">
                <w:rPr>
                  <w:b/>
                  <w:bCs/>
                  <w:sz w:val="24"/>
                  <w:szCs w:val="24"/>
                </w:rPr>
                <w:t xml:space="preserve">, </w:t>
              </w:r>
              <w:smartTag w:uri="urn:schemas-microsoft-com:office:smarttags" w:element="State">
                <w:r w:rsidRPr="00957A2B">
                  <w:rPr>
                    <w:b/>
                    <w:bCs/>
                    <w:sz w:val="24"/>
                    <w:szCs w:val="24"/>
                  </w:rPr>
                  <w:t>LA</w:t>
                </w:r>
              </w:smartTag>
            </w:smartTag>
          </w:p>
        </w:tc>
      </w:tr>
      <w:tr w:rsidR="00957A2B" w:rsidRPr="00957A2B" w:rsidTr="00DD5CF0">
        <w:trPr>
          <w:jc w:val="center"/>
        </w:trPr>
        <w:tc>
          <w:tcPr>
            <w:tcW w:w="7018" w:type="dxa"/>
          </w:tcPr>
          <w:p w:rsid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p>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Pr>
                <w:b/>
                <w:sz w:val="24"/>
                <w:szCs w:val="24"/>
              </w:rPr>
              <w:t>***</w:t>
            </w:r>
          </w:p>
        </w:tc>
      </w:tr>
    </w:tbl>
    <w:p w:rsidR="00957A2B" w:rsidRDefault="00957A2B"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843EC0" w:rsidRDefault="00843EC0"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843EC0" w:rsidRDefault="00843EC0"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7018" w:type="dxa"/>
        <w:jc w:val="center"/>
        <w:tblInd w:w="-1017"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7018"/>
      </w:tblGrid>
      <w:tr w:rsidR="00843EC0" w:rsidRPr="00957A2B" w:rsidTr="00A84EFD">
        <w:trPr>
          <w:cantSplit/>
          <w:trHeight w:val="143"/>
          <w:tblHeader/>
          <w:jc w:val="center"/>
        </w:trPr>
        <w:tc>
          <w:tcPr>
            <w:tcW w:w="7018" w:type="dxa"/>
            <w:shd w:val="pct10" w:color="auto" w:fill="auto"/>
            <w:vAlign w:val="center"/>
          </w:tcPr>
          <w:p w:rsidR="00843EC0" w:rsidRPr="00957A2B" w:rsidRDefault="00843EC0" w:rsidP="00A84EF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957A2B">
              <w:rPr>
                <w:b/>
                <w:sz w:val="24"/>
                <w:szCs w:val="24"/>
              </w:rPr>
              <w:t>Table 1 - Wastes Excluded</w:t>
            </w:r>
          </w:p>
        </w:tc>
      </w:tr>
      <w:tr w:rsidR="00843EC0" w:rsidRPr="00957A2B" w:rsidTr="00A84EFD">
        <w:trPr>
          <w:trHeight w:val="143"/>
          <w:tblHeader/>
          <w:jc w:val="center"/>
        </w:trPr>
        <w:tc>
          <w:tcPr>
            <w:tcW w:w="7018" w:type="dxa"/>
            <w:shd w:val="clear" w:color="auto" w:fill="E6E6E6"/>
          </w:tcPr>
          <w:p w:rsidR="00843EC0" w:rsidRPr="00843EC0" w:rsidRDefault="00843EC0" w:rsidP="00A84EF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843EC0">
              <w:rPr>
                <w:b/>
                <w:bCs/>
                <w:sz w:val="24"/>
                <w:szCs w:val="24"/>
              </w:rPr>
              <w:t>Syngenta Crop Protection, Inc., St. Gabriel, LA</w:t>
            </w:r>
          </w:p>
        </w:tc>
      </w:tr>
      <w:tr w:rsidR="00843EC0" w:rsidRPr="00957A2B" w:rsidTr="00A84EFD">
        <w:trPr>
          <w:jc w:val="center"/>
        </w:trPr>
        <w:tc>
          <w:tcPr>
            <w:tcW w:w="7018" w:type="dxa"/>
          </w:tcPr>
          <w:p w:rsidR="00843EC0" w:rsidRDefault="00843EC0" w:rsidP="00A84EF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p>
          <w:p w:rsidR="00843EC0" w:rsidRPr="00957A2B" w:rsidRDefault="00843EC0" w:rsidP="00A84EF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Pr>
                <w:b/>
                <w:sz w:val="24"/>
                <w:szCs w:val="24"/>
              </w:rPr>
              <w:t>***</w:t>
            </w:r>
          </w:p>
        </w:tc>
      </w:tr>
    </w:tbl>
    <w:p w:rsidR="00843EC0" w:rsidRDefault="00843EC0"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843EC0" w:rsidRDefault="00843EC0"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0" w:type="auto"/>
        <w:jc w:val="center"/>
        <w:tblInd w:w="230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957A2B" w:rsidRPr="00957A2B" w:rsidTr="00DD5CF0">
        <w:trPr>
          <w:jc w:val="center"/>
        </w:trPr>
        <w:tc>
          <w:tcPr>
            <w:tcW w:w="7098" w:type="dxa"/>
            <w:shd w:val="clear" w:color="auto" w:fill="E0E0E0"/>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sz w:val="24"/>
                <w:szCs w:val="24"/>
              </w:rPr>
              <w:t>Table 2 – One-Time Wastes Excluded</w:t>
            </w:r>
          </w:p>
        </w:tc>
      </w:tr>
      <w:tr w:rsidR="00957A2B" w:rsidRPr="00957A2B" w:rsidTr="00DD5CF0">
        <w:trPr>
          <w:jc w:val="center"/>
        </w:trPr>
        <w:tc>
          <w:tcPr>
            <w:tcW w:w="7098" w:type="dxa"/>
            <w:shd w:val="clear" w:color="auto" w:fill="E0E0E0"/>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bCs/>
                <w:sz w:val="24"/>
                <w:szCs w:val="24"/>
              </w:rPr>
              <w:t>Murphy Exploration and Production Company, Amelia, LA</w:t>
            </w:r>
          </w:p>
        </w:tc>
      </w:tr>
      <w:tr w:rsidR="00957A2B" w:rsidRPr="00957A2B" w:rsidTr="00DD5CF0">
        <w:trPr>
          <w:jc w:val="center"/>
        </w:trPr>
        <w:tc>
          <w:tcPr>
            <w:tcW w:w="7098" w:type="dxa"/>
          </w:tcPr>
          <w:p w:rsid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p>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Pr>
                <w:b/>
                <w:bCs/>
                <w:sz w:val="24"/>
                <w:szCs w:val="24"/>
              </w:rPr>
              <w:t>***</w:t>
            </w:r>
          </w:p>
        </w:tc>
      </w:tr>
    </w:tbl>
    <w:p w:rsidR="00957A2B" w:rsidRDefault="00957A2B"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0" w:type="auto"/>
        <w:jc w:val="center"/>
        <w:tblInd w:w="230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957A2B" w:rsidRPr="00957A2B" w:rsidTr="00DD5CF0">
        <w:trPr>
          <w:trHeight w:val="159"/>
          <w:jc w:val="center"/>
        </w:trPr>
        <w:tc>
          <w:tcPr>
            <w:tcW w:w="7098" w:type="dxa"/>
            <w:tcBorders>
              <w:top w:val="double" w:sz="4" w:space="0" w:color="auto"/>
              <w:left w:val="double" w:sz="4" w:space="0" w:color="auto"/>
              <w:bottom w:val="single" w:sz="4" w:space="0" w:color="auto"/>
              <w:right w:val="double" w:sz="4" w:space="0" w:color="auto"/>
            </w:tcBorders>
            <w:shd w:val="clear" w:color="auto" w:fill="D9D9D9"/>
            <w:hideMark/>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sz w:val="24"/>
                <w:szCs w:val="24"/>
              </w:rPr>
              <w:t>Table 2 – One-Time Wastes Excluded</w:t>
            </w:r>
          </w:p>
        </w:tc>
      </w:tr>
      <w:tr w:rsidR="00957A2B" w:rsidRPr="00957A2B" w:rsidTr="00DD5CF0">
        <w:trPr>
          <w:jc w:val="center"/>
        </w:trPr>
        <w:tc>
          <w:tcPr>
            <w:tcW w:w="7098" w:type="dxa"/>
            <w:tcBorders>
              <w:top w:val="single" w:sz="4" w:space="0" w:color="auto"/>
              <w:left w:val="double" w:sz="4" w:space="0" w:color="auto"/>
              <w:bottom w:val="single" w:sz="4" w:space="0" w:color="auto"/>
              <w:right w:val="double" w:sz="4" w:space="0" w:color="auto"/>
            </w:tcBorders>
            <w:shd w:val="clear" w:color="auto" w:fill="D9D9D9"/>
            <w:hideMark/>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bCs/>
                <w:sz w:val="24"/>
                <w:szCs w:val="24"/>
              </w:rPr>
              <w:t>Conrad Industries, Inc. (Conrad), Morgan City, LA</w:t>
            </w:r>
          </w:p>
        </w:tc>
      </w:tr>
      <w:tr w:rsidR="00957A2B" w:rsidRPr="00957A2B" w:rsidTr="00957A2B">
        <w:trPr>
          <w:jc w:val="center"/>
        </w:trPr>
        <w:tc>
          <w:tcPr>
            <w:tcW w:w="7098" w:type="dxa"/>
            <w:tcBorders>
              <w:top w:val="single" w:sz="4" w:space="0" w:color="auto"/>
              <w:left w:val="double" w:sz="4" w:space="0" w:color="auto"/>
              <w:bottom w:val="double" w:sz="4" w:space="0" w:color="auto"/>
              <w:right w:val="double" w:sz="4" w:space="0" w:color="auto"/>
            </w:tcBorders>
          </w:tcPr>
          <w:p w:rsid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p>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Pr>
                <w:b/>
                <w:bCs/>
                <w:sz w:val="24"/>
                <w:szCs w:val="24"/>
              </w:rPr>
              <w:t>***</w:t>
            </w:r>
          </w:p>
        </w:tc>
      </w:tr>
    </w:tbl>
    <w:p w:rsidR="00957A2B" w:rsidRDefault="00957A2B"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957A2B" w:rsidRDefault="00843EC0" w:rsidP="00843EC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r>
        <w:rPr>
          <w:b/>
          <w:kern w:val="0"/>
          <w:sz w:val="24"/>
          <w:szCs w:val="24"/>
        </w:rPr>
        <w:tab/>
        <w:t>Appendix F. Recordkeeping Instructions</w:t>
      </w:r>
    </w:p>
    <w:p w:rsidR="00DD58CC" w:rsidRDefault="00843EC0" w:rsidP="00843EC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r>
        <w:rPr>
          <w:b/>
          <w:kern w:val="0"/>
          <w:sz w:val="24"/>
          <w:szCs w:val="24"/>
        </w:rPr>
        <w:lastRenderedPageBreak/>
        <w:tab/>
      </w:r>
      <w:r>
        <w:rPr>
          <w:b/>
          <w:kern w:val="0"/>
          <w:sz w:val="24"/>
          <w:szCs w:val="24"/>
        </w:rPr>
        <w:tab/>
      </w:r>
    </w:p>
    <w:p w:rsidR="00843EC0" w:rsidRDefault="00843EC0" w:rsidP="00DD58CC">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720" w:firstLine="720"/>
        <w:rPr>
          <w:kern w:val="0"/>
          <w:sz w:val="24"/>
          <w:szCs w:val="24"/>
        </w:rPr>
      </w:pPr>
      <w:r>
        <w:rPr>
          <w:kern w:val="0"/>
          <w:sz w:val="24"/>
          <w:szCs w:val="24"/>
        </w:rPr>
        <w:t>A. – B.3.Table 2.  …</w:t>
      </w:r>
    </w:p>
    <w:p w:rsidR="00843EC0" w:rsidRPr="00843EC0" w:rsidRDefault="00843EC0" w:rsidP="00843EC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kern w:val="0"/>
          <w:sz w:val="24"/>
          <w:szCs w:val="24"/>
        </w:rPr>
      </w:pPr>
    </w:p>
    <w:p w:rsidR="00957A2B" w:rsidRPr="00957A2B" w:rsidRDefault="00957A2B" w:rsidP="00843EC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720"/>
        <w:jc w:val="left"/>
        <w:rPr>
          <w:sz w:val="24"/>
          <w:szCs w:val="24"/>
        </w:rPr>
      </w:pPr>
      <w:r w:rsidRPr="00957A2B">
        <w:rPr>
          <w:sz w:val="24"/>
          <w:szCs w:val="24"/>
        </w:rPr>
        <w:t>AUTHORITY NOTE:</w:t>
      </w:r>
      <w:r w:rsidRPr="00957A2B">
        <w:rPr>
          <w:sz w:val="24"/>
          <w:szCs w:val="24"/>
        </w:rPr>
        <w:tab/>
        <w:t>Promulgated in accordance with R.S. 30:2180 et seq.</w:t>
      </w:r>
    </w:p>
    <w:p w:rsidR="00F77013" w:rsidRDefault="00957A2B" w:rsidP="00843EC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jc w:val="left"/>
        <w:rPr>
          <w:sz w:val="24"/>
          <w:szCs w:val="24"/>
        </w:rPr>
      </w:pPr>
      <w:r w:rsidRPr="00957A2B">
        <w:rPr>
          <w:sz w:val="24"/>
          <w:szCs w:val="24"/>
        </w:rPr>
        <w:t>HISTORICAL NOTE:</w:t>
      </w:r>
      <w:r w:rsidRPr="00957A2B">
        <w:rPr>
          <w:sz w:val="24"/>
          <w:szCs w:val="24"/>
        </w:rPr>
        <w:tab/>
        <w:t>Promulgated by the Department of Environmental Quality, LR 20:1000 (September 1994), amended by the Office of Solid and Hazardous Waste, Hazardous Waste Division, LR 21:944 (September 1995), LR 22:830 (September 1996), amended by the Office of Waste Services, Hazardous Waste Division, LR 23:952 (August 1997), amended by the Office of Environmental Assessment, Environmental Planning Division, LR 25:2397 (December 1999), LR 26:2509 (November 2000), LR 29:1084 (July 2003), repromulgated LR 29:1475 (August 2003), amended by the Office of Environmental Assessment, LR 30:2464 (November 2004), amended by the Office of the Secretary, Legal Affairs Division, LR 33:445 (March 2007), LR 33:825 (May 2007), LR 33:1016 (June 2007), LR 34:73 (January 2008), LR 34:1021 (June 2008), LR 34:1613 (August 2008), amended by the Office of the Secretary, Legal Division, LR 38:2757 (November 201</w:t>
      </w:r>
      <w:r w:rsidR="00263BBF">
        <w:rPr>
          <w:sz w:val="24"/>
          <w:szCs w:val="24"/>
        </w:rPr>
        <w:t>2), LR 40:1692 (September 2014), LR 42**</w:t>
      </w:r>
      <w:r w:rsidR="00843EC0">
        <w:rPr>
          <w:sz w:val="24"/>
          <w:szCs w:val="24"/>
        </w:rPr>
        <w:t>.</w:t>
      </w:r>
    </w:p>
    <w:p w:rsidR="007D60DE" w:rsidRPr="00111342" w:rsidRDefault="007D60DE" w:rsidP="00111342">
      <w:pPr>
        <w:rPr>
          <w:rFonts w:ascii="Times New Roman" w:eastAsia="Times New Roman" w:hAnsi="Times New Roman" w:cs="Times New Roman"/>
          <w:kern w:val="2"/>
          <w:sz w:val="24"/>
          <w:szCs w:val="24"/>
        </w:rPr>
      </w:pPr>
      <w:r w:rsidRPr="007D60DE">
        <w:rPr>
          <w:rFonts w:ascii="Times New Roman" w:hAnsi="Times New Roman" w:cs="Times New Roman"/>
          <w:sz w:val="24"/>
          <w:szCs w:val="24"/>
        </w:rPr>
        <w:t xml:space="preserve"> </w:t>
      </w:r>
    </w:p>
    <w:p w:rsidR="00F77013" w:rsidRPr="007D60DE" w:rsidRDefault="00F77013" w:rsidP="007D60DE">
      <w:pPr>
        <w:spacing w:after="0" w:line="240" w:lineRule="auto"/>
        <w:rPr>
          <w:rFonts w:ascii="Times New Roman" w:hAnsi="Times New Roman" w:cs="Times New Roman"/>
          <w:sz w:val="24"/>
          <w:szCs w:val="24"/>
        </w:rPr>
      </w:pPr>
    </w:p>
    <w:sectPr w:rsidR="00F77013" w:rsidRPr="007D60DE" w:rsidSect="007D60DE">
      <w:headerReference w:type="default" r:id="rId10"/>
      <w:footerReference w:type="default" r:id="rId11"/>
      <w:endnotePr>
        <w:numFmt w:val="decimal"/>
      </w:endnotePr>
      <w:pgSz w:w="12240" w:h="20160" w:code="5"/>
      <w:pgMar w:top="1440" w:right="1440" w:bottom="1440" w:left="1440" w:header="360" w:footer="720" w:gutter="0"/>
      <w:paperSrc w:first="4" w:other="4"/>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36" w:rsidRDefault="00450536" w:rsidP="00AF402F">
      <w:pPr>
        <w:spacing w:after="0" w:line="240" w:lineRule="auto"/>
      </w:pPr>
      <w:r>
        <w:separator/>
      </w:r>
    </w:p>
  </w:endnote>
  <w:endnote w:type="continuationSeparator" w:id="0">
    <w:p w:rsidR="00450536" w:rsidRDefault="00450536" w:rsidP="00AF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5329"/>
      <w:docPartObj>
        <w:docPartGallery w:val="Page Numbers (Bottom of Page)"/>
        <w:docPartUnique/>
      </w:docPartObj>
    </w:sdtPr>
    <w:sdtEndPr>
      <w:rPr>
        <w:rFonts w:ascii="Times New Roman" w:hAnsi="Times New Roman" w:cs="Times New Roman"/>
        <w:sz w:val="24"/>
        <w:szCs w:val="24"/>
      </w:rPr>
    </w:sdtEndPr>
    <w:sdtContent>
      <w:p w:rsidR="001D6384" w:rsidRPr="001404F5" w:rsidRDefault="001D6384">
        <w:pPr>
          <w:pStyle w:val="Footer"/>
          <w:jc w:val="center"/>
          <w:rPr>
            <w:rFonts w:ascii="Times New Roman" w:hAnsi="Times New Roman" w:cs="Times New Roman"/>
            <w:sz w:val="24"/>
            <w:szCs w:val="24"/>
          </w:rPr>
        </w:pPr>
        <w:r w:rsidRPr="001404F5">
          <w:rPr>
            <w:rFonts w:ascii="Times New Roman" w:hAnsi="Times New Roman" w:cs="Times New Roman"/>
            <w:sz w:val="24"/>
            <w:szCs w:val="24"/>
          </w:rPr>
          <w:fldChar w:fldCharType="begin"/>
        </w:r>
        <w:r w:rsidRPr="001404F5">
          <w:rPr>
            <w:rFonts w:ascii="Times New Roman" w:hAnsi="Times New Roman" w:cs="Times New Roman"/>
            <w:sz w:val="24"/>
            <w:szCs w:val="24"/>
          </w:rPr>
          <w:instrText xml:space="preserve"> PAGE   \* MERGEFORMAT </w:instrText>
        </w:r>
        <w:r w:rsidRPr="001404F5">
          <w:rPr>
            <w:rFonts w:ascii="Times New Roman" w:hAnsi="Times New Roman" w:cs="Times New Roman"/>
            <w:sz w:val="24"/>
            <w:szCs w:val="24"/>
          </w:rPr>
          <w:fldChar w:fldCharType="separate"/>
        </w:r>
        <w:r w:rsidR="00111342">
          <w:rPr>
            <w:rFonts w:ascii="Times New Roman" w:hAnsi="Times New Roman" w:cs="Times New Roman"/>
            <w:noProof/>
            <w:sz w:val="24"/>
            <w:szCs w:val="24"/>
          </w:rPr>
          <w:t>1</w:t>
        </w:r>
        <w:r w:rsidRPr="001404F5">
          <w:rPr>
            <w:rFonts w:ascii="Times New Roman" w:hAnsi="Times New Roman" w:cs="Times New Roman"/>
            <w:sz w:val="24"/>
            <w:szCs w:val="24"/>
          </w:rPr>
          <w:fldChar w:fldCharType="end"/>
        </w:r>
      </w:p>
    </w:sdtContent>
  </w:sdt>
  <w:p w:rsidR="001D6384" w:rsidRDefault="001D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36" w:rsidRDefault="00450536" w:rsidP="00AF402F">
      <w:pPr>
        <w:spacing w:after="0" w:line="240" w:lineRule="auto"/>
      </w:pPr>
      <w:r>
        <w:separator/>
      </w:r>
    </w:p>
  </w:footnote>
  <w:footnote w:type="continuationSeparator" w:id="0">
    <w:p w:rsidR="00450536" w:rsidRDefault="00450536" w:rsidP="00AF4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84" w:rsidRDefault="008F0DF0" w:rsidP="00AF402F">
    <w:pPr>
      <w:rPr>
        <w:rFonts w:ascii="Times New Roman" w:hAnsi="Times New Roman" w:cs="Times New Roman"/>
        <w:sz w:val="24"/>
        <w:szCs w:val="24"/>
      </w:rPr>
    </w:pPr>
    <w:r>
      <w:rPr>
        <w:rFonts w:ascii="Times New Roman" w:hAnsi="Times New Roman" w:cs="Times New Roman"/>
        <w:sz w:val="24"/>
        <w:szCs w:val="24"/>
      </w:rPr>
      <w:t>Proposed</w:t>
    </w:r>
    <w:r w:rsidR="000E3B72">
      <w:rPr>
        <w:rFonts w:ascii="Times New Roman" w:hAnsi="Times New Roman" w:cs="Times New Roman"/>
        <w:sz w:val="24"/>
        <w:szCs w:val="24"/>
      </w:rPr>
      <w:t>/</w:t>
    </w:r>
    <w:r w:rsidR="00F77013">
      <w:rPr>
        <w:rFonts w:ascii="Times New Roman" w:hAnsi="Times New Roman" w:cs="Times New Roman"/>
        <w:sz w:val="24"/>
        <w:szCs w:val="24"/>
      </w:rPr>
      <w:t>August</w:t>
    </w:r>
    <w:r>
      <w:rPr>
        <w:rFonts w:ascii="Times New Roman" w:hAnsi="Times New Roman" w:cs="Times New Roman"/>
        <w:sz w:val="24"/>
        <w:szCs w:val="24"/>
      </w:rPr>
      <w:t xml:space="preserve"> </w:t>
    </w:r>
    <w:r w:rsidR="000E3B72">
      <w:rPr>
        <w:rFonts w:ascii="Times New Roman" w:hAnsi="Times New Roman" w:cs="Times New Roman"/>
        <w:sz w:val="24"/>
        <w:szCs w:val="24"/>
      </w:rPr>
      <w:t>20, 2016</w:t>
    </w:r>
    <w:r w:rsidR="001D6384">
      <w:rPr>
        <w:rFonts w:ascii="Times New Roman" w:hAnsi="Times New Roman" w:cs="Times New Roman"/>
        <w:sz w:val="24"/>
        <w:szCs w:val="24"/>
      </w:rPr>
      <w:tab/>
    </w:r>
    <w:r w:rsidR="001D6384">
      <w:rPr>
        <w:rFonts w:ascii="Times New Roman" w:hAnsi="Times New Roman" w:cs="Times New Roman"/>
        <w:sz w:val="24"/>
        <w:szCs w:val="24"/>
      </w:rPr>
      <w:tab/>
    </w:r>
    <w:r w:rsidR="001D6384">
      <w:rPr>
        <w:rFonts w:ascii="Times New Roman" w:hAnsi="Times New Roman" w:cs="Times New Roman"/>
        <w:sz w:val="24"/>
        <w:szCs w:val="24"/>
      </w:rPr>
      <w:tab/>
    </w:r>
    <w:r w:rsidR="00F77013">
      <w:rPr>
        <w:rFonts w:ascii="Times New Roman" w:hAnsi="Times New Roman" w:cs="Times New Roman"/>
        <w:sz w:val="24"/>
        <w:szCs w:val="24"/>
      </w:rPr>
      <w:tab/>
    </w:r>
    <w:r w:rsidR="001D6384">
      <w:rPr>
        <w:rFonts w:ascii="Times New Roman" w:hAnsi="Times New Roman" w:cs="Times New Roman"/>
        <w:sz w:val="24"/>
        <w:szCs w:val="24"/>
      </w:rPr>
      <w:tab/>
    </w:r>
    <w:r w:rsidR="001D6384">
      <w:rPr>
        <w:rFonts w:ascii="Times New Roman" w:hAnsi="Times New Roman" w:cs="Times New Roman"/>
        <w:sz w:val="24"/>
        <w:szCs w:val="24"/>
      </w:rPr>
      <w:tab/>
    </w:r>
    <w:r w:rsidR="001D6384">
      <w:rPr>
        <w:rFonts w:ascii="Times New Roman" w:hAnsi="Times New Roman" w:cs="Times New Roman"/>
        <w:sz w:val="24"/>
        <w:szCs w:val="24"/>
      </w:rPr>
      <w:tab/>
    </w:r>
    <w:r w:rsidR="001D6384">
      <w:rPr>
        <w:rFonts w:ascii="Times New Roman" w:hAnsi="Times New Roman" w:cs="Times New Roman"/>
        <w:sz w:val="24"/>
        <w:szCs w:val="24"/>
      </w:rPr>
      <w:tab/>
      <w:t>HW1</w:t>
    </w:r>
    <w:r w:rsidR="00526DEE">
      <w:rPr>
        <w:rFonts w:ascii="Times New Roman" w:hAnsi="Times New Roman" w:cs="Times New Roman"/>
        <w:sz w:val="24"/>
        <w:szCs w:val="24"/>
      </w:rPr>
      <w:t>21</w:t>
    </w:r>
  </w:p>
  <w:p w:rsidR="001D6384" w:rsidRDefault="001D63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78DC"/>
    <w:multiLevelType w:val="hybridMultilevel"/>
    <w:tmpl w:val="496C16A0"/>
    <w:lvl w:ilvl="0" w:tplc="EC065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9633F6"/>
    <w:multiLevelType w:val="hybridMultilevel"/>
    <w:tmpl w:val="21B68A2E"/>
    <w:lvl w:ilvl="0" w:tplc="0409000F">
      <w:start w:val="1"/>
      <w:numFmt w:val="decimal"/>
      <w:lvlText w:val="%1."/>
      <w:lvlJc w:val="left"/>
      <w:pPr>
        <w:ind w:left="374" w:hanging="360"/>
      </w:pPr>
    </w:lvl>
    <w:lvl w:ilvl="1" w:tplc="04090019">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BA"/>
    <w:rsid w:val="000075E8"/>
    <w:rsid w:val="00022161"/>
    <w:rsid w:val="00023D23"/>
    <w:rsid w:val="00027956"/>
    <w:rsid w:val="00037738"/>
    <w:rsid w:val="000519F8"/>
    <w:rsid w:val="00056350"/>
    <w:rsid w:val="00062E34"/>
    <w:rsid w:val="00064487"/>
    <w:rsid w:val="00065677"/>
    <w:rsid w:val="000705E4"/>
    <w:rsid w:val="000749E8"/>
    <w:rsid w:val="00092AE0"/>
    <w:rsid w:val="000934B8"/>
    <w:rsid w:val="000956DA"/>
    <w:rsid w:val="000A462E"/>
    <w:rsid w:val="000A4977"/>
    <w:rsid w:val="000A50EF"/>
    <w:rsid w:val="000D31F3"/>
    <w:rsid w:val="000D510C"/>
    <w:rsid w:val="000E0899"/>
    <w:rsid w:val="000E3B72"/>
    <w:rsid w:val="000F2BD1"/>
    <w:rsid w:val="000F5A3B"/>
    <w:rsid w:val="000F6413"/>
    <w:rsid w:val="001050DF"/>
    <w:rsid w:val="00105A63"/>
    <w:rsid w:val="00106A91"/>
    <w:rsid w:val="00111342"/>
    <w:rsid w:val="00111D0F"/>
    <w:rsid w:val="001140AF"/>
    <w:rsid w:val="00131E74"/>
    <w:rsid w:val="00134354"/>
    <w:rsid w:val="0013553F"/>
    <w:rsid w:val="00136CDC"/>
    <w:rsid w:val="001404F5"/>
    <w:rsid w:val="00143F8A"/>
    <w:rsid w:val="0015369E"/>
    <w:rsid w:val="00155186"/>
    <w:rsid w:val="00155F78"/>
    <w:rsid w:val="0017109A"/>
    <w:rsid w:val="00177A9B"/>
    <w:rsid w:val="00185D28"/>
    <w:rsid w:val="001A252E"/>
    <w:rsid w:val="001A5D6C"/>
    <w:rsid w:val="001B441A"/>
    <w:rsid w:val="001B5BED"/>
    <w:rsid w:val="001B5CAA"/>
    <w:rsid w:val="001C6A93"/>
    <w:rsid w:val="001C6E7D"/>
    <w:rsid w:val="001C7B9B"/>
    <w:rsid w:val="001D2DD9"/>
    <w:rsid w:val="001D41EF"/>
    <w:rsid w:val="001D51B4"/>
    <w:rsid w:val="001D6384"/>
    <w:rsid w:val="001E1A40"/>
    <w:rsid w:val="001E1AAC"/>
    <w:rsid w:val="001E2CCD"/>
    <w:rsid w:val="001E61AC"/>
    <w:rsid w:val="001F12A3"/>
    <w:rsid w:val="001F2E2E"/>
    <w:rsid w:val="001F65F3"/>
    <w:rsid w:val="00201B2B"/>
    <w:rsid w:val="00210137"/>
    <w:rsid w:val="00211DEC"/>
    <w:rsid w:val="002123A2"/>
    <w:rsid w:val="002365B4"/>
    <w:rsid w:val="00241644"/>
    <w:rsid w:val="00242EC5"/>
    <w:rsid w:val="00243934"/>
    <w:rsid w:val="00244013"/>
    <w:rsid w:val="00244970"/>
    <w:rsid w:val="002514DF"/>
    <w:rsid w:val="00254201"/>
    <w:rsid w:val="0025586D"/>
    <w:rsid w:val="002600A9"/>
    <w:rsid w:val="00260E8F"/>
    <w:rsid w:val="00261E8E"/>
    <w:rsid w:val="00263272"/>
    <w:rsid w:val="00263BBF"/>
    <w:rsid w:val="00263BF1"/>
    <w:rsid w:val="002772F6"/>
    <w:rsid w:val="00277F0C"/>
    <w:rsid w:val="002857BB"/>
    <w:rsid w:val="00296B02"/>
    <w:rsid w:val="002977C7"/>
    <w:rsid w:val="002A54B3"/>
    <w:rsid w:val="002A5849"/>
    <w:rsid w:val="002A5ACE"/>
    <w:rsid w:val="002B1EE3"/>
    <w:rsid w:val="002B452E"/>
    <w:rsid w:val="002B4EC6"/>
    <w:rsid w:val="002D022B"/>
    <w:rsid w:val="002D0B41"/>
    <w:rsid w:val="002D1DA5"/>
    <w:rsid w:val="002E75A4"/>
    <w:rsid w:val="002E7F09"/>
    <w:rsid w:val="002F3F63"/>
    <w:rsid w:val="002F4A03"/>
    <w:rsid w:val="003041F0"/>
    <w:rsid w:val="0031165F"/>
    <w:rsid w:val="00314DBB"/>
    <w:rsid w:val="00314FC6"/>
    <w:rsid w:val="003209D9"/>
    <w:rsid w:val="003246CA"/>
    <w:rsid w:val="00331EF2"/>
    <w:rsid w:val="00336122"/>
    <w:rsid w:val="0034078C"/>
    <w:rsid w:val="003446C7"/>
    <w:rsid w:val="0035041F"/>
    <w:rsid w:val="00350475"/>
    <w:rsid w:val="003511AD"/>
    <w:rsid w:val="00352E08"/>
    <w:rsid w:val="00362CD4"/>
    <w:rsid w:val="00364174"/>
    <w:rsid w:val="003644CC"/>
    <w:rsid w:val="00366CF3"/>
    <w:rsid w:val="00366F63"/>
    <w:rsid w:val="00377335"/>
    <w:rsid w:val="003804C5"/>
    <w:rsid w:val="0038152C"/>
    <w:rsid w:val="00391219"/>
    <w:rsid w:val="00391AE7"/>
    <w:rsid w:val="00393B77"/>
    <w:rsid w:val="003963B9"/>
    <w:rsid w:val="00397DE6"/>
    <w:rsid w:val="003A3BCA"/>
    <w:rsid w:val="003A488D"/>
    <w:rsid w:val="003A72F9"/>
    <w:rsid w:val="003B191A"/>
    <w:rsid w:val="003B31BE"/>
    <w:rsid w:val="003B51EA"/>
    <w:rsid w:val="003C2D15"/>
    <w:rsid w:val="003C404F"/>
    <w:rsid w:val="003C674D"/>
    <w:rsid w:val="003D2A70"/>
    <w:rsid w:val="003D2CD8"/>
    <w:rsid w:val="003D4D80"/>
    <w:rsid w:val="003E3B17"/>
    <w:rsid w:val="003E3EE7"/>
    <w:rsid w:val="003F444B"/>
    <w:rsid w:val="003F4A7D"/>
    <w:rsid w:val="003F6905"/>
    <w:rsid w:val="003F6E71"/>
    <w:rsid w:val="00402489"/>
    <w:rsid w:val="00402F07"/>
    <w:rsid w:val="004062AD"/>
    <w:rsid w:val="00406D24"/>
    <w:rsid w:val="004156C1"/>
    <w:rsid w:val="00421941"/>
    <w:rsid w:val="00430786"/>
    <w:rsid w:val="0043281A"/>
    <w:rsid w:val="00445EEC"/>
    <w:rsid w:val="00450536"/>
    <w:rsid w:val="00450D55"/>
    <w:rsid w:val="004608A2"/>
    <w:rsid w:val="004620E1"/>
    <w:rsid w:val="00465419"/>
    <w:rsid w:val="00473A59"/>
    <w:rsid w:val="0047417B"/>
    <w:rsid w:val="00474628"/>
    <w:rsid w:val="00495565"/>
    <w:rsid w:val="00496B06"/>
    <w:rsid w:val="004A21BD"/>
    <w:rsid w:val="004A3126"/>
    <w:rsid w:val="004C2A84"/>
    <w:rsid w:val="004C3B86"/>
    <w:rsid w:val="004C3F20"/>
    <w:rsid w:val="004C4900"/>
    <w:rsid w:val="004C7248"/>
    <w:rsid w:val="004D0286"/>
    <w:rsid w:val="004D2DD2"/>
    <w:rsid w:val="004D4E68"/>
    <w:rsid w:val="004D5825"/>
    <w:rsid w:val="004D71FE"/>
    <w:rsid w:val="004D7793"/>
    <w:rsid w:val="004E6DB1"/>
    <w:rsid w:val="004F0D95"/>
    <w:rsid w:val="004F15EE"/>
    <w:rsid w:val="004F7228"/>
    <w:rsid w:val="00513708"/>
    <w:rsid w:val="00522B22"/>
    <w:rsid w:val="0052687C"/>
    <w:rsid w:val="00526DEE"/>
    <w:rsid w:val="005323FF"/>
    <w:rsid w:val="00535C3A"/>
    <w:rsid w:val="00540F7F"/>
    <w:rsid w:val="005411B1"/>
    <w:rsid w:val="0055112E"/>
    <w:rsid w:val="0055435C"/>
    <w:rsid w:val="00555FED"/>
    <w:rsid w:val="00563C1B"/>
    <w:rsid w:val="00574343"/>
    <w:rsid w:val="005754DB"/>
    <w:rsid w:val="00575B1D"/>
    <w:rsid w:val="00580159"/>
    <w:rsid w:val="00581BF7"/>
    <w:rsid w:val="00585C1D"/>
    <w:rsid w:val="00594EB4"/>
    <w:rsid w:val="005956DB"/>
    <w:rsid w:val="005B0E97"/>
    <w:rsid w:val="005B37E0"/>
    <w:rsid w:val="005C0A9D"/>
    <w:rsid w:val="005D55FA"/>
    <w:rsid w:val="005E0DED"/>
    <w:rsid w:val="005E32F6"/>
    <w:rsid w:val="005E43ED"/>
    <w:rsid w:val="005E51FE"/>
    <w:rsid w:val="005F2903"/>
    <w:rsid w:val="005F4923"/>
    <w:rsid w:val="005F50AA"/>
    <w:rsid w:val="005F61C0"/>
    <w:rsid w:val="00610DCD"/>
    <w:rsid w:val="0061373B"/>
    <w:rsid w:val="00624A7B"/>
    <w:rsid w:val="0062621D"/>
    <w:rsid w:val="00630F0B"/>
    <w:rsid w:val="006310F7"/>
    <w:rsid w:val="006316F7"/>
    <w:rsid w:val="00632D14"/>
    <w:rsid w:val="006363A1"/>
    <w:rsid w:val="0064075D"/>
    <w:rsid w:val="0064307C"/>
    <w:rsid w:val="00654161"/>
    <w:rsid w:val="00655C7D"/>
    <w:rsid w:val="00656D5C"/>
    <w:rsid w:val="006570F6"/>
    <w:rsid w:val="00662E23"/>
    <w:rsid w:val="00665004"/>
    <w:rsid w:val="00666184"/>
    <w:rsid w:val="006728EB"/>
    <w:rsid w:val="00673842"/>
    <w:rsid w:val="00673E25"/>
    <w:rsid w:val="00674F67"/>
    <w:rsid w:val="006771A0"/>
    <w:rsid w:val="00680C2E"/>
    <w:rsid w:val="00680C7C"/>
    <w:rsid w:val="00681FEA"/>
    <w:rsid w:val="00687408"/>
    <w:rsid w:val="00687DA2"/>
    <w:rsid w:val="0069078C"/>
    <w:rsid w:val="006937A3"/>
    <w:rsid w:val="00695495"/>
    <w:rsid w:val="00695571"/>
    <w:rsid w:val="006A22B0"/>
    <w:rsid w:val="006A29EB"/>
    <w:rsid w:val="006A45F0"/>
    <w:rsid w:val="006A4930"/>
    <w:rsid w:val="006A7398"/>
    <w:rsid w:val="006B142A"/>
    <w:rsid w:val="006B6691"/>
    <w:rsid w:val="006B7C05"/>
    <w:rsid w:val="006C04D5"/>
    <w:rsid w:val="006C25EC"/>
    <w:rsid w:val="006E0494"/>
    <w:rsid w:val="006F72C2"/>
    <w:rsid w:val="00702487"/>
    <w:rsid w:val="00705434"/>
    <w:rsid w:val="007070D5"/>
    <w:rsid w:val="0071256F"/>
    <w:rsid w:val="00716630"/>
    <w:rsid w:val="007169CA"/>
    <w:rsid w:val="00722028"/>
    <w:rsid w:val="00725E75"/>
    <w:rsid w:val="00736662"/>
    <w:rsid w:val="00736AA4"/>
    <w:rsid w:val="007449F0"/>
    <w:rsid w:val="00744CFA"/>
    <w:rsid w:val="0074629F"/>
    <w:rsid w:val="00752A36"/>
    <w:rsid w:val="00760C88"/>
    <w:rsid w:val="00765B9A"/>
    <w:rsid w:val="0077087E"/>
    <w:rsid w:val="00774586"/>
    <w:rsid w:val="007757A5"/>
    <w:rsid w:val="007774E2"/>
    <w:rsid w:val="007819CC"/>
    <w:rsid w:val="00781B57"/>
    <w:rsid w:val="00782C70"/>
    <w:rsid w:val="00785751"/>
    <w:rsid w:val="00792775"/>
    <w:rsid w:val="007A01A3"/>
    <w:rsid w:val="007A174A"/>
    <w:rsid w:val="007A464F"/>
    <w:rsid w:val="007B2C0F"/>
    <w:rsid w:val="007B2F4D"/>
    <w:rsid w:val="007C1228"/>
    <w:rsid w:val="007C51D8"/>
    <w:rsid w:val="007C6993"/>
    <w:rsid w:val="007D01D0"/>
    <w:rsid w:val="007D2017"/>
    <w:rsid w:val="007D319B"/>
    <w:rsid w:val="007D60DE"/>
    <w:rsid w:val="007F162B"/>
    <w:rsid w:val="0080364E"/>
    <w:rsid w:val="00806FE1"/>
    <w:rsid w:val="00810A9D"/>
    <w:rsid w:val="008117E8"/>
    <w:rsid w:val="00814B5B"/>
    <w:rsid w:val="008150B7"/>
    <w:rsid w:val="008168BE"/>
    <w:rsid w:val="008235CB"/>
    <w:rsid w:val="00825183"/>
    <w:rsid w:val="008301EF"/>
    <w:rsid w:val="00834120"/>
    <w:rsid w:val="0084121A"/>
    <w:rsid w:val="00842C96"/>
    <w:rsid w:val="00843EC0"/>
    <w:rsid w:val="00850B40"/>
    <w:rsid w:val="00852C65"/>
    <w:rsid w:val="008609D6"/>
    <w:rsid w:val="00861E31"/>
    <w:rsid w:val="00880D1C"/>
    <w:rsid w:val="00883A86"/>
    <w:rsid w:val="00883B84"/>
    <w:rsid w:val="00883CC2"/>
    <w:rsid w:val="00893F4B"/>
    <w:rsid w:val="0089632D"/>
    <w:rsid w:val="0089633E"/>
    <w:rsid w:val="008969FE"/>
    <w:rsid w:val="00896CCF"/>
    <w:rsid w:val="008A1ABC"/>
    <w:rsid w:val="008A5D0D"/>
    <w:rsid w:val="008A691C"/>
    <w:rsid w:val="008B0253"/>
    <w:rsid w:val="008B19EF"/>
    <w:rsid w:val="008D29CA"/>
    <w:rsid w:val="008D3291"/>
    <w:rsid w:val="008D7A33"/>
    <w:rsid w:val="008F023C"/>
    <w:rsid w:val="008F0DF0"/>
    <w:rsid w:val="008F659D"/>
    <w:rsid w:val="008F7820"/>
    <w:rsid w:val="00901AED"/>
    <w:rsid w:val="009020F4"/>
    <w:rsid w:val="00902C76"/>
    <w:rsid w:val="00914A21"/>
    <w:rsid w:val="00916102"/>
    <w:rsid w:val="00923206"/>
    <w:rsid w:val="00923A79"/>
    <w:rsid w:val="0092683D"/>
    <w:rsid w:val="00945B05"/>
    <w:rsid w:val="009470CB"/>
    <w:rsid w:val="00947926"/>
    <w:rsid w:val="00951726"/>
    <w:rsid w:val="00954486"/>
    <w:rsid w:val="00957A2B"/>
    <w:rsid w:val="0097492A"/>
    <w:rsid w:val="00974B87"/>
    <w:rsid w:val="00982B71"/>
    <w:rsid w:val="00985228"/>
    <w:rsid w:val="00997C11"/>
    <w:rsid w:val="009B16E9"/>
    <w:rsid w:val="009B5768"/>
    <w:rsid w:val="009B6A54"/>
    <w:rsid w:val="009B78CF"/>
    <w:rsid w:val="009C4077"/>
    <w:rsid w:val="009D1107"/>
    <w:rsid w:val="009D6E98"/>
    <w:rsid w:val="009D73AE"/>
    <w:rsid w:val="009D7977"/>
    <w:rsid w:val="009E139A"/>
    <w:rsid w:val="009E59DA"/>
    <w:rsid w:val="009E758B"/>
    <w:rsid w:val="009F1C10"/>
    <w:rsid w:val="009F52D1"/>
    <w:rsid w:val="009F5CE9"/>
    <w:rsid w:val="009F642F"/>
    <w:rsid w:val="00A050E0"/>
    <w:rsid w:val="00A14170"/>
    <w:rsid w:val="00A157EB"/>
    <w:rsid w:val="00A17E63"/>
    <w:rsid w:val="00A20227"/>
    <w:rsid w:val="00A20B9E"/>
    <w:rsid w:val="00A24B27"/>
    <w:rsid w:val="00A24DB7"/>
    <w:rsid w:val="00A25F32"/>
    <w:rsid w:val="00A429ED"/>
    <w:rsid w:val="00A45A88"/>
    <w:rsid w:val="00A50C19"/>
    <w:rsid w:val="00A61FFA"/>
    <w:rsid w:val="00A63E6B"/>
    <w:rsid w:val="00A756B3"/>
    <w:rsid w:val="00A76CF1"/>
    <w:rsid w:val="00A8436F"/>
    <w:rsid w:val="00A8723C"/>
    <w:rsid w:val="00A93F57"/>
    <w:rsid w:val="00A954E1"/>
    <w:rsid w:val="00A97B84"/>
    <w:rsid w:val="00AA04CD"/>
    <w:rsid w:val="00AA4ADF"/>
    <w:rsid w:val="00AA522E"/>
    <w:rsid w:val="00AB0A95"/>
    <w:rsid w:val="00AB330D"/>
    <w:rsid w:val="00AB76AC"/>
    <w:rsid w:val="00AE1151"/>
    <w:rsid w:val="00AE25AF"/>
    <w:rsid w:val="00AE3141"/>
    <w:rsid w:val="00AE76C8"/>
    <w:rsid w:val="00AF0D03"/>
    <w:rsid w:val="00AF402F"/>
    <w:rsid w:val="00AF57C2"/>
    <w:rsid w:val="00B05146"/>
    <w:rsid w:val="00B31088"/>
    <w:rsid w:val="00B35661"/>
    <w:rsid w:val="00B35B97"/>
    <w:rsid w:val="00B4542A"/>
    <w:rsid w:val="00B57FFB"/>
    <w:rsid w:val="00B64C6C"/>
    <w:rsid w:val="00B671D6"/>
    <w:rsid w:val="00B7004F"/>
    <w:rsid w:val="00B723BE"/>
    <w:rsid w:val="00B90AE8"/>
    <w:rsid w:val="00B91ABA"/>
    <w:rsid w:val="00B9551F"/>
    <w:rsid w:val="00B96230"/>
    <w:rsid w:val="00BA3141"/>
    <w:rsid w:val="00BA6CD2"/>
    <w:rsid w:val="00BA7735"/>
    <w:rsid w:val="00BB2393"/>
    <w:rsid w:val="00BB4427"/>
    <w:rsid w:val="00BB615B"/>
    <w:rsid w:val="00BB7565"/>
    <w:rsid w:val="00BC0D53"/>
    <w:rsid w:val="00BC2646"/>
    <w:rsid w:val="00BC736A"/>
    <w:rsid w:val="00BD25FC"/>
    <w:rsid w:val="00BD2A93"/>
    <w:rsid w:val="00BD67E0"/>
    <w:rsid w:val="00BE0A75"/>
    <w:rsid w:val="00BF4386"/>
    <w:rsid w:val="00BF6A97"/>
    <w:rsid w:val="00C029EC"/>
    <w:rsid w:val="00C042EB"/>
    <w:rsid w:val="00C0674B"/>
    <w:rsid w:val="00C1427F"/>
    <w:rsid w:val="00C15B78"/>
    <w:rsid w:val="00C34A32"/>
    <w:rsid w:val="00C34AD5"/>
    <w:rsid w:val="00C36759"/>
    <w:rsid w:val="00C6092D"/>
    <w:rsid w:val="00C60DF7"/>
    <w:rsid w:val="00C6220F"/>
    <w:rsid w:val="00C72994"/>
    <w:rsid w:val="00C75E5A"/>
    <w:rsid w:val="00C8020B"/>
    <w:rsid w:val="00C84DD3"/>
    <w:rsid w:val="00C86610"/>
    <w:rsid w:val="00C94136"/>
    <w:rsid w:val="00C94D72"/>
    <w:rsid w:val="00CA0631"/>
    <w:rsid w:val="00CA1CF6"/>
    <w:rsid w:val="00CA368E"/>
    <w:rsid w:val="00CA6102"/>
    <w:rsid w:val="00CB21EE"/>
    <w:rsid w:val="00CB4F99"/>
    <w:rsid w:val="00CB5250"/>
    <w:rsid w:val="00CB5331"/>
    <w:rsid w:val="00CB6745"/>
    <w:rsid w:val="00CC3DA2"/>
    <w:rsid w:val="00CD03E1"/>
    <w:rsid w:val="00CD1678"/>
    <w:rsid w:val="00CD716E"/>
    <w:rsid w:val="00CE6A7A"/>
    <w:rsid w:val="00CF0435"/>
    <w:rsid w:val="00D00BE4"/>
    <w:rsid w:val="00D01EF4"/>
    <w:rsid w:val="00D061E9"/>
    <w:rsid w:val="00D11408"/>
    <w:rsid w:val="00D15B54"/>
    <w:rsid w:val="00D2225F"/>
    <w:rsid w:val="00D22575"/>
    <w:rsid w:val="00D2322B"/>
    <w:rsid w:val="00D250CC"/>
    <w:rsid w:val="00D31646"/>
    <w:rsid w:val="00D35832"/>
    <w:rsid w:val="00D44E47"/>
    <w:rsid w:val="00D5135C"/>
    <w:rsid w:val="00D53454"/>
    <w:rsid w:val="00D55761"/>
    <w:rsid w:val="00D57944"/>
    <w:rsid w:val="00D771F8"/>
    <w:rsid w:val="00D8234A"/>
    <w:rsid w:val="00D97BA1"/>
    <w:rsid w:val="00D97DD0"/>
    <w:rsid w:val="00DA4992"/>
    <w:rsid w:val="00DB10A8"/>
    <w:rsid w:val="00DC2ECF"/>
    <w:rsid w:val="00DC4D7E"/>
    <w:rsid w:val="00DC5DF1"/>
    <w:rsid w:val="00DD2A6B"/>
    <w:rsid w:val="00DD58CC"/>
    <w:rsid w:val="00DD5BF6"/>
    <w:rsid w:val="00DE5448"/>
    <w:rsid w:val="00DF27EE"/>
    <w:rsid w:val="00E03ADA"/>
    <w:rsid w:val="00E10E09"/>
    <w:rsid w:val="00E35FC7"/>
    <w:rsid w:val="00E37756"/>
    <w:rsid w:val="00E40907"/>
    <w:rsid w:val="00E50942"/>
    <w:rsid w:val="00E6064D"/>
    <w:rsid w:val="00E65BD4"/>
    <w:rsid w:val="00E673F8"/>
    <w:rsid w:val="00E74C2E"/>
    <w:rsid w:val="00E771D6"/>
    <w:rsid w:val="00E8334A"/>
    <w:rsid w:val="00E83410"/>
    <w:rsid w:val="00E86C2C"/>
    <w:rsid w:val="00E94556"/>
    <w:rsid w:val="00E95D69"/>
    <w:rsid w:val="00E95EDD"/>
    <w:rsid w:val="00EA237B"/>
    <w:rsid w:val="00EA476F"/>
    <w:rsid w:val="00EB0299"/>
    <w:rsid w:val="00EB0BE9"/>
    <w:rsid w:val="00EB12A4"/>
    <w:rsid w:val="00EB5EAF"/>
    <w:rsid w:val="00EB6CC4"/>
    <w:rsid w:val="00EC00B1"/>
    <w:rsid w:val="00EC555E"/>
    <w:rsid w:val="00EC5745"/>
    <w:rsid w:val="00ED0052"/>
    <w:rsid w:val="00ED3C7F"/>
    <w:rsid w:val="00ED4013"/>
    <w:rsid w:val="00ED6152"/>
    <w:rsid w:val="00EE1C63"/>
    <w:rsid w:val="00EE7D18"/>
    <w:rsid w:val="00F00A1E"/>
    <w:rsid w:val="00F07CA8"/>
    <w:rsid w:val="00F11776"/>
    <w:rsid w:val="00F131E0"/>
    <w:rsid w:val="00F23BB2"/>
    <w:rsid w:val="00F23E40"/>
    <w:rsid w:val="00F275E2"/>
    <w:rsid w:val="00F3187F"/>
    <w:rsid w:val="00F37145"/>
    <w:rsid w:val="00F42D6B"/>
    <w:rsid w:val="00F45B11"/>
    <w:rsid w:val="00F506C0"/>
    <w:rsid w:val="00F550DC"/>
    <w:rsid w:val="00F613E7"/>
    <w:rsid w:val="00F61C37"/>
    <w:rsid w:val="00F64681"/>
    <w:rsid w:val="00F66D85"/>
    <w:rsid w:val="00F72A68"/>
    <w:rsid w:val="00F7322E"/>
    <w:rsid w:val="00F75B38"/>
    <w:rsid w:val="00F77013"/>
    <w:rsid w:val="00F7732A"/>
    <w:rsid w:val="00F80C3D"/>
    <w:rsid w:val="00F851D6"/>
    <w:rsid w:val="00F91AD3"/>
    <w:rsid w:val="00FA786B"/>
    <w:rsid w:val="00FB1170"/>
    <w:rsid w:val="00FB1A8C"/>
    <w:rsid w:val="00FC71AF"/>
    <w:rsid w:val="00FD7509"/>
    <w:rsid w:val="00FE55E9"/>
    <w:rsid w:val="00FF1705"/>
    <w:rsid w:val="00FF1915"/>
    <w:rsid w:val="00FF35E2"/>
    <w:rsid w:val="00FF3BAA"/>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iPriority w:val="99"/>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iPriority w:val="99"/>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1942-CC0D-4BD9-85CC-629C0AF8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gwendolyn_b</dc:creator>
  <cp:lastModifiedBy>Helpline</cp:lastModifiedBy>
  <cp:revision>3</cp:revision>
  <cp:lastPrinted>2016-07-13T16:29:00Z</cp:lastPrinted>
  <dcterms:created xsi:type="dcterms:W3CDTF">2016-08-10T18:20:00Z</dcterms:created>
  <dcterms:modified xsi:type="dcterms:W3CDTF">2016-08-10T18:21:00Z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CCAA6sHsCh+nbOtyqn7MBFW4o9d3GP2hvu0wIZ078WmOwSmuo+TbXPoUwsmxe4apaoGHn6IzIY/BhMed
BDX32hL63CppbpJdYqHJt5NXScijUfb5KZYA3YHIb34azy4605CA</vt:lpwstr>
  </property>
  <property fmtid="{D5CDD505-2E9C-101B-9397-08002B2CF9AE}" pid="3" name="RESPONSE_SENDER_NAME">
    <vt:lpwstr>sAAA4E8dREqJqIqdwouGlR7ltUDkPC5phydyketZ1pArRxM=</vt:lpwstr>
  </property>
  <property fmtid="{D5CDD505-2E9C-101B-9397-08002B2CF9AE}" pid="4" name="EMAIL_OWNER_ADDRESS">
    <vt:lpwstr>4AAA9mrMv1QjWAt1Cgwbfz2W7KhOhQBvgOaTunMi7ROHf/dccQVr9xKpgA==</vt:lpwstr>
  </property>
</Properties>
</file>